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0E35" w:rsidRDefault="005C0E35" w:rsidP="005C0E35">
      <w:pPr>
        <w:pStyle w:val="Testonormale"/>
        <w:jc w:val="center"/>
        <w:rPr>
          <w:i/>
          <w:sz w:val="36"/>
        </w:rPr>
      </w:pPr>
      <w:r>
        <w:rPr>
          <w:i/>
          <w:sz w:val="36"/>
        </w:rPr>
        <w:t>LIGO Laboratory / LIGO Scientific Collaboration</w:t>
      </w:r>
    </w:p>
    <w:p w:rsidR="005C0E35" w:rsidRDefault="005C0E35" w:rsidP="005C0E35">
      <w:pPr>
        <w:pStyle w:val="Testonormale"/>
        <w:jc w:val="center"/>
        <w:rPr>
          <w:sz w:val="36"/>
        </w:rPr>
      </w:pPr>
    </w:p>
    <w:p w:rsidR="005C0E35" w:rsidRPr="005C0E35" w:rsidRDefault="005C0E35" w:rsidP="005C0E35">
      <w:pPr>
        <w:pBdr>
          <w:top w:val="threeDEmboss" w:sz="24" w:space="1" w:color="auto"/>
          <w:left w:val="threeDEmboss" w:sz="24" w:space="4" w:color="auto"/>
          <w:bottom w:val="threeDEmboss" w:sz="24" w:space="1" w:color="auto"/>
          <w:right w:val="threeDEmboss" w:sz="24" w:space="4" w:color="auto"/>
        </w:pBdr>
        <w:tabs>
          <w:tab w:val="center" w:pos="5040"/>
          <w:tab w:val="right" w:pos="9360"/>
        </w:tabs>
        <w:rPr>
          <w:lang w:val="en-US"/>
        </w:rPr>
      </w:pPr>
      <w:r w:rsidRPr="005C0E35">
        <w:rPr>
          <w:lang w:val="en-US"/>
        </w:rPr>
        <w:t>LIGO-</w:t>
      </w:r>
      <w:r w:rsidR="006537EE">
        <w:rPr>
          <w:lang w:val="en-US"/>
        </w:rPr>
        <w:t>T0900409-</w:t>
      </w:r>
      <w:r w:rsidR="005A0933">
        <w:rPr>
          <w:lang w:val="en-US"/>
        </w:rPr>
        <w:t>v1</w:t>
      </w:r>
      <w:r w:rsidRPr="005C0E35">
        <w:rPr>
          <w:lang w:val="en-US"/>
        </w:rPr>
        <w:tab/>
      </w:r>
      <w:r w:rsidRPr="005C0E35">
        <w:rPr>
          <w:rFonts w:ascii="Times" w:hAnsi="Times"/>
          <w:i/>
          <w:iCs/>
          <w:color w:val="0000FF"/>
          <w:sz w:val="40"/>
          <w:lang w:val="en-US"/>
        </w:rPr>
        <w:t>LIGO</w:t>
      </w:r>
      <w:r w:rsidRPr="005C0E35">
        <w:rPr>
          <w:lang w:val="en-US"/>
        </w:rPr>
        <w:tab/>
        <w:t>08/31/2009</w:t>
      </w:r>
    </w:p>
    <w:p w:rsidR="005C0E35" w:rsidRDefault="009B29F4" w:rsidP="005C0E35">
      <w:pPr>
        <w:pBdr>
          <w:top w:val="threeDEmboss" w:sz="24" w:space="1" w:color="auto"/>
          <w:left w:val="threeDEmboss" w:sz="24" w:space="4" w:color="auto"/>
          <w:bottom w:val="threeDEmboss" w:sz="24" w:space="1" w:color="auto"/>
          <w:right w:val="threeDEmboss" w:sz="24" w:space="4" w:color="auto"/>
        </w:pBdr>
      </w:pPr>
      <w:r>
        <w:pict>
          <v:rect id="_x0000_i1025" style="width:0;height:1.5pt" o:hralign="center" o:hrstd="t" o:hr="t" fillcolor="gray" stroked="f"/>
        </w:pict>
      </w:r>
    </w:p>
    <w:p w:rsidR="005C0E35" w:rsidRPr="005C0E35" w:rsidRDefault="005C0E35" w:rsidP="005C0E35">
      <w:pPr>
        <w:pBdr>
          <w:top w:val="threeDEmboss" w:sz="24" w:space="1" w:color="auto"/>
          <w:left w:val="threeDEmboss" w:sz="24" w:space="4" w:color="auto"/>
          <w:bottom w:val="threeDEmboss" w:sz="24" w:space="1" w:color="auto"/>
          <w:right w:val="threeDEmboss" w:sz="24" w:space="4" w:color="auto"/>
        </w:pBdr>
        <w:jc w:val="center"/>
        <w:rPr>
          <w:b/>
          <w:sz w:val="32"/>
          <w:lang w:val="en-US"/>
        </w:rPr>
      </w:pPr>
      <w:r w:rsidRPr="005C0E35">
        <w:rPr>
          <w:b/>
          <w:sz w:val="32"/>
          <w:lang w:val="en-US"/>
        </w:rPr>
        <w:t>Underground Seismic Studies for 3</w:t>
      </w:r>
      <w:r w:rsidR="00156B1D" w:rsidRPr="00156B1D">
        <w:rPr>
          <w:b/>
          <w:sz w:val="32"/>
          <w:vertAlign w:val="superscript"/>
          <w:lang w:val="en-US"/>
        </w:rPr>
        <w:t>rd</w:t>
      </w:r>
      <w:r w:rsidRPr="005C0E35">
        <w:rPr>
          <w:b/>
          <w:sz w:val="32"/>
          <w:lang w:val="en-US"/>
        </w:rPr>
        <w:t xml:space="preserve"> Generation Gravitational Wave Interferometric Detectors at the Former Homestake Mine in Lead, South Dakota</w:t>
      </w:r>
    </w:p>
    <w:p w:rsidR="005C0E35" w:rsidRPr="0036094F" w:rsidRDefault="005C0E35" w:rsidP="005C0E35">
      <w:pPr>
        <w:pBdr>
          <w:top w:val="threeDEmboss" w:sz="24" w:space="1" w:color="auto"/>
          <w:left w:val="threeDEmboss" w:sz="24" w:space="4" w:color="auto"/>
          <w:bottom w:val="threeDEmboss" w:sz="24" w:space="1" w:color="auto"/>
          <w:right w:val="threeDEmboss" w:sz="24" w:space="4" w:color="auto"/>
        </w:pBdr>
        <w:jc w:val="center"/>
        <w:rPr>
          <w:sz w:val="24"/>
          <w:szCs w:val="24"/>
          <w:lang w:val="en-US"/>
        </w:rPr>
      </w:pPr>
      <w:r w:rsidRPr="0036094F">
        <w:rPr>
          <w:sz w:val="24"/>
          <w:szCs w:val="24"/>
          <w:lang w:val="en-US"/>
        </w:rPr>
        <w:t>Luca Naticchioni</w:t>
      </w:r>
      <w:r w:rsidRPr="0036094F">
        <w:rPr>
          <w:rStyle w:val="Rimandonotaapidipagina"/>
          <w:sz w:val="24"/>
          <w:szCs w:val="24"/>
        </w:rPr>
        <w:footnoteReference w:id="2"/>
      </w:r>
    </w:p>
    <w:p w:rsidR="005C0E35" w:rsidRDefault="005C0E35" w:rsidP="005C0E35">
      <w:pPr>
        <w:pStyle w:val="Testonormale"/>
        <w:spacing w:before="0"/>
        <w:jc w:val="center"/>
      </w:pPr>
    </w:p>
    <w:p w:rsidR="005C0E35" w:rsidRDefault="005C0E35" w:rsidP="005C0E35">
      <w:pPr>
        <w:pStyle w:val="Testonormale"/>
        <w:spacing w:before="0"/>
        <w:jc w:val="center"/>
      </w:pPr>
      <w:r>
        <w:t>Distribution of this document:</w:t>
      </w:r>
    </w:p>
    <w:p w:rsidR="005C0E35" w:rsidRDefault="005C0E35" w:rsidP="005C0E35">
      <w:pPr>
        <w:pStyle w:val="Testonormale"/>
        <w:spacing w:before="0"/>
        <w:jc w:val="center"/>
      </w:pPr>
      <w:r>
        <w:t>LIGO Science Collaboration</w:t>
      </w:r>
    </w:p>
    <w:p w:rsidR="005C0E35" w:rsidRDefault="005C0E35" w:rsidP="005C0E35">
      <w:pPr>
        <w:pStyle w:val="Testonormale"/>
        <w:spacing w:before="0"/>
        <w:jc w:val="center"/>
      </w:pPr>
    </w:p>
    <w:p w:rsidR="005C0E35" w:rsidRDefault="005C0E35" w:rsidP="005C0E35">
      <w:pPr>
        <w:pStyle w:val="Testonormale"/>
        <w:spacing w:before="0"/>
        <w:jc w:val="center"/>
      </w:pPr>
      <w:r>
        <w:t>This is an internal working note</w:t>
      </w:r>
    </w:p>
    <w:p w:rsidR="005C0E35" w:rsidRDefault="005C0E35" w:rsidP="005C0E35">
      <w:pPr>
        <w:pStyle w:val="Testonormale"/>
        <w:spacing w:before="0"/>
        <w:jc w:val="center"/>
      </w:pPr>
      <w:r>
        <w:t>of the LIGO Project.</w:t>
      </w:r>
    </w:p>
    <w:p w:rsidR="005C0E35" w:rsidRDefault="005C0E35" w:rsidP="005C0E35">
      <w:pPr>
        <w:pStyle w:val="Testonormale"/>
        <w:spacing w:before="0"/>
        <w:jc w:val="left"/>
      </w:pPr>
    </w:p>
    <w:tbl>
      <w:tblPr>
        <w:tblW w:w="0" w:type="auto"/>
        <w:tblLook w:val="0000"/>
      </w:tblPr>
      <w:tblGrid>
        <w:gridCol w:w="4909"/>
        <w:gridCol w:w="4909"/>
      </w:tblGrid>
      <w:tr w:rsidR="005C0E35" w:rsidRPr="00A6078A" w:rsidTr="004411D3">
        <w:tc>
          <w:tcPr>
            <w:tcW w:w="4909" w:type="dxa"/>
          </w:tcPr>
          <w:p w:rsidR="005C0E35" w:rsidRDefault="005C0E35" w:rsidP="004411D3">
            <w:pPr>
              <w:pStyle w:val="Testonormale"/>
              <w:spacing w:before="0"/>
              <w:jc w:val="center"/>
              <w:rPr>
                <w:b/>
                <w:bCs/>
                <w:color w:val="808080"/>
              </w:rPr>
            </w:pPr>
            <w:r>
              <w:rPr>
                <w:b/>
                <w:bCs/>
                <w:color w:val="808080"/>
              </w:rPr>
              <w:t>California Institute of Technology</w:t>
            </w:r>
          </w:p>
          <w:p w:rsidR="005C0E35" w:rsidRDefault="005C0E35" w:rsidP="004411D3">
            <w:pPr>
              <w:pStyle w:val="Testonormale"/>
              <w:spacing w:before="0"/>
              <w:jc w:val="center"/>
              <w:rPr>
                <w:b/>
                <w:bCs/>
                <w:color w:val="808080"/>
              </w:rPr>
            </w:pPr>
            <w:r>
              <w:rPr>
                <w:b/>
                <w:bCs/>
                <w:color w:val="808080"/>
              </w:rPr>
              <w:t>LIGO Project – MS 18-34</w:t>
            </w:r>
          </w:p>
          <w:p w:rsidR="005C0E35" w:rsidRPr="005F48B2" w:rsidRDefault="005C0E35" w:rsidP="004411D3">
            <w:pPr>
              <w:pStyle w:val="Testonormale"/>
              <w:spacing w:before="0"/>
              <w:jc w:val="center"/>
              <w:rPr>
                <w:b/>
                <w:bCs/>
                <w:color w:val="808080"/>
                <w:lang w:val="it-IT"/>
              </w:rPr>
            </w:pPr>
            <w:r w:rsidRPr="005F48B2">
              <w:rPr>
                <w:b/>
                <w:bCs/>
                <w:color w:val="808080"/>
                <w:lang w:val="it-IT"/>
              </w:rPr>
              <w:t>1200 E. California Blvd.</w:t>
            </w:r>
          </w:p>
          <w:p w:rsidR="005C0E35" w:rsidRPr="005F48B2" w:rsidRDefault="005C0E35" w:rsidP="004411D3">
            <w:pPr>
              <w:pStyle w:val="Testonormale"/>
              <w:spacing w:before="0"/>
              <w:jc w:val="center"/>
              <w:rPr>
                <w:b/>
                <w:bCs/>
                <w:color w:val="808080"/>
                <w:lang w:val="it-IT"/>
              </w:rPr>
            </w:pPr>
            <w:r w:rsidRPr="005F48B2">
              <w:rPr>
                <w:b/>
                <w:bCs/>
                <w:color w:val="808080"/>
                <w:lang w:val="it-IT"/>
              </w:rPr>
              <w:t>Pasadena, CA 91125</w:t>
            </w:r>
          </w:p>
          <w:p w:rsidR="005C0E35" w:rsidRPr="00A6078A" w:rsidRDefault="005C0E35" w:rsidP="004411D3">
            <w:pPr>
              <w:pStyle w:val="Testonormale"/>
              <w:spacing w:before="0"/>
              <w:jc w:val="center"/>
              <w:rPr>
                <w:color w:val="808080"/>
              </w:rPr>
            </w:pPr>
            <w:r w:rsidRPr="00A6078A">
              <w:rPr>
                <w:color w:val="808080"/>
              </w:rPr>
              <w:t>Phone (626) 395-2129</w:t>
            </w:r>
          </w:p>
          <w:p w:rsidR="005C0E35" w:rsidRPr="00A6078A" w:rsidRDefault="005C0E35" w:rsidP="004411D3">
            <w:pPr>
              <w:pStyle w:val="Testonormale"/>
              <w:spacing w:before="0"/>
              <w:jc w:val="center"/>
              <w:rPr>
                <w:color w:val="808080"/>
              </w:rPr>
            </w:pPr>
            <w:r w:rsidRPr="00A6078A">
              <w:rPr>
                <w:color w:val="808080"/>
              </w:rPr>
              <w:t>Fax (626) 304-9834</w:t>
            </w:r>
          </w:p>
          <w:p w:rsidR="005C0E35" w:rsidRPr="00A6078A" w:rsidRDefault="005C0E35" w:rsidP="004411D3">
            <w:pPr>
              <w:pStyle w:val="Testonormale"/>
              <w:spacing w:before="0"/>
              <w:jc w:val="center"/>
              <w:rPr>
                <w:color w:val="808080"/>
              </w:rPr>
            </w:pPr>
            <w:r w:rsidRPr="00A6078A">
              <w:rPr>
                <w:color w:val="808080"/>
              </w:rPr>
              <w:t>E-mail: info@ligo.caltech.edu</w:t>
            </w:r>
          </w:p>
        </w:tc>
        <w:tc>
          <w:tcPr>
            <w:tcW w:w="4909" w:type="dxa"/>
          </w:tcPr>
          <w:p w:rsidR="005C0E35" w:rsidRDefault="005C0E35" w:rsidP="004411D3">
            <w:pPr>
              <w:pStyle w:val="Testonormale"/>
              <w:spacing w:before="0"/>
              <w:jc w:val="center"/>
              <w:rPr>
                <w:b/>
                <w:bCs/>
                <w:color w:val="808080"/>
              </w:rPr>
            </w:pPr>
            <w:r>
              <w:rPr>
                <w:b/>
                <w:bCs/>
                <w:color w:val="808080"/>
              </w:rPr>
              <w:t>Massachusetts Institute of Technology</w:t>
            </w:r>
          </w:p>
          <w:p w:rsidR="005C0E35" w:rsidRDefault="005C0E35" w:rsidP="004411D3">
            <w:pPr>
              <w:pStyle w:val="Testonormale"/>
              <w:spacing w:before="0"/>
              <w:jc w:val="center"/>
              <w:rPr>
                <w:b/>
                <w:bCs/>
                <w:color w:val="808080"/>
              </w:rPr>
            </w:pPr>
            <w:r>
              <w:rPr>
                <w:b/>
                <w:bCs/>
                <w:color w:val="808080"/>
              </w:rPr>
              <w:t>LIGO Project – NW17-161</w:t>
            </w:r>
          </w:p>
          <w:p w:rsidR="005C0E35" w:rsidRDefault="005C0E35" w:rsidP="004411D3">
            <w:pPr>
              <w:pStyle w:val="Testonormale"/>
              <w:spacing w:before="0"/>
              <w:jc w:val="center"/>
              <w:rPr>
                <w:b/>
                <w:bCs/>
                <w:color w:val="808080"/>
              </w:rPr>
            </w:pPr>
            <w:r>
              <w:rPr>
                <w:b/>
                <w:bCs/>
                <w:color w:val="808080"/>
              </w:rPr>
              <w:t>175 Albany St</w:t>
            </w:r>
          </w:p>
          <w:p w:rsidR="005C0E35" w:rsidRDefault="005C0E35" w:rsidP="004411D3">
            <w:pPr>
              <w:pStyle w:val="Testonormale"/>
              <w:spacing w:before="0"/>
              <w:jc w:val="center"/>
              <w:rPr>
                <w:b/>
                <w:bCs/>
                <w:color w:val="808080"/>
              </w:rPr>
            </w:pPr>
            <w:r>
              <w:rPr>
                <w:b/>
                <w:bCs/>
                <w:color w:val="808080"/>
              </w:rPr>
              <w:t>Cambridge, MA 02139</w:t>
            </w:r>
          </w:p>
          <w:p w:rsidR="005C0E35" w:rsidRDefault="005C0E35" w:rsidP="004411D3">
            <w:pPr>
              <w:pStyle w:val="Testonormale"/>
              <w:spacing w:before="0"/>
              <w:jc w:val="center"/>
              <w:rPr>
                <w:color w:val="808080"/>
              </w:rPr>
            </w:pPr>
            <w:r>
              <w:rPr>
                <w:color w:val="808080"/>
              </w:rPr>
              <w:t>Phone (617) 253-4824</w:t>
            </w:r>
          </w:p>
          <w:p w:rsidR="005C0E35" w:rsidRPr="00A6078A" w:rsidRDefault="005C0E35" w:rsidP="004411D3">
            <w:pPr>
              <w:pStyle w:val="Testonormale"/>
              <w:spacing w:before="0"/>
              <w:jc w:val="center"/>
              <w:rPr>
                <w:color w:val="808080"/>
                <w:lang w:val="it-IT"/>
              </w:rPr>
            </w:pPr>
            <w:r w:rsidRPr="00A6078A">
              <w:rPr>
                <w:color w:val="808080"/>
                <w:lang w:val="it-IT"/>
              </w:rPr>
              <w:t>Fax (617) 253-7014</w:t>
            </w:r>
          </w:p>
          <w:p w:rsidR="005C0E35" w:rsidRPr="00A6078A" w:rsidRDefault="005C0E35" w:rsidP="004411D3">
            <w:pPr>
              <w:pStyle w:val="Testonormale"/>
              <w:spacing w:before="0"/>
              <w:jc w:val="center"/>
              <w:rPr>
                <w:color w:val="808080"/>
                <w:lang w:val="it-IT"/>
              </w:rPr>
            </w:pPr>
            <w:r w:rsidRPr="00A6078A">
              <w:rPr>
                <w:color w:val="808080"/>
                <w:lang w:val="it-IT"/>
              </w:rPr>
              <w:t>E-mail: info@ligo.mit.edu</w:t>
            </w:r>
          </w:p>
        </w:tc>
      </w:tr>
      <w:tr w:rsidR="005C0E35" w:rsidTr="004411D3">
        <w:tc>
          <w:tcPr>
            <w:tcW w:w="4909" w:type="dxa"/>
          </w:tcPr>
          <w:p w:rsidR="005C0E35" w:rsidRPr="00A6078A" w:rsidRDefault="005C0E35" w:rsidP="004411D3">
            <w:pPr>
              <w:pStyle w:val="Testonormale"/>
              <w:spacing w:before="0"/>
              <w:jc w:val="center"/>
              <w:rPr>
                <w:b/>
                <w:bCs/>
                <w:color w:val="808080"/>
                <w:lang w:val="it-IT"/>
              </w:rPr>
            </w:pPr>
          </w:p>
          <w:p w:rsidR="005C0E35" w:rsidRDefault="005C0E35" w:rsidP="004411D3">
            <w:pPr>
              <w:pStyle w:val="Testonormale"/>
              <w:spacing w:before="0"/>
              <w:jc w:val="center"/>
              <w:rPr>
                <w:b/>
                <w:bCs/>
                <w:color w:val="808080"/>
              </w:rPr>
            </w:pPr>
            <w:r>
              <w:rPr>
                <w:b/>
                <w:bCs/>
                <w:color w:val="808080"/>
              </w:rPr>
              <w:t>LIGO Hanford Observatory</w:t>
            </w:r>
          </w:p>
          <w:p w:rsidR="005C0E35" w:rsidRDefault="005C0E35" w:rsidP="004411D3">
            <w:pPr>
              <w:pStyle w:val="Testonormale"/>
              <w:spacing w:before="0"/>
              <w:jc w:val="center"/>
              <w:rPr>
                <w:b/>
                <w:bCs/>
                <w:color w:val="808080"/>
              </w:rPr>
            </w:pPr>
            <w:r>
              <w:rPr>
                <w:b/>
                <w:bCs/>
                <w:color w:val="808080"/>
              </w:rPr>
              <w:t>P.O. Box 1970</w:t>
            </w:r>
          </w:p>
          <w:p w:rsidR="005C0E35" w:rsidRDefault="005C0E35" w:rsidP="004411D3">
            <w:pPr>
              <w:pStyle w:val="Testonormale"/>
              <w:spacing w:before="0"/>
              <w:jc w:val="center"/>
              <w:rPr>
                <w:b/>
                <w:bCs/>
                <w:color w:val="808080"/>
              </w:rPr>
            </w:pPr>
            <w:r>
              <w:rPr>
                <w:b/>
                <w:bCs/>
                <w:color w:val="808080"/>
              </w:rPr>
              <w:t>Mail Stop S9-02</w:t>
            </w:r>
          </w:p>
          <w:p w:rsidR="005C0E35" w:rsidRDefault="005C0E35" w:rsidP="004411D3">
            <w:pPr>
              <w:pStyle w:val="Testonormale"/>
              <w:spacing w:before="0"/>
              <w:jc w:val="center"/>
              <w:rPr>
                <w:b/>
                <w:bCs/>
                <w:color w:val="808080"/>
              </w:rPr>
            </w:pPr>
            <w:r>
              <w:rPr>
                <w:b/>
                <w:bCs/>
                <w:color w:val="808080"/>
              </w:rPr>
              <w:t>Richland WA 99352</w:t>
            </w:r>
          </w:p>
          <w:p w:rsidR="005C0E35" w:rsidRDefault="005C0E35" w:rsidP="004411D3">
            <w:pPr>
              <w:pStyle w:val="Testonormale"/>
              <w:spacing w:before="0"/>
              <w:jc w:val="center"/>
              <w:rPr>
                <w:color w:val="808080"/>
              </w:rPr>
            </w:pPr>
            <w:r>
              <w:rPr>
                <w:color w:val="808080"/>
              </w:rPr>
              <w:t>Phone 509-372-8106</w:t>
            </w:r>
          </w:p>
          <w:p w:rsidR="005C0E35" w:rsidRDefault="005C0E35" w:rsidP="004411D3">
            <w:pPr>
              <w:pStyle w:val="Testonormale"/>
              <w:spacing w:before="0"/>
              <w:jc w:val="center"/>
              <w:rPr>
                <w:b/>
                <w:bCs/>
                <w:color w:val="808080"/>
              </w:rPr>
            </w:pPr>
            <w:r>
              <w:rPr>
                <w:color w:val="808080"/>
              </w:rPr>
              <w:t>Fax 509-372-8137</w:t>
            </w:r>
          </w:p>
        </w:tc>
        <w:tc>
          <w:tcPr>
            <w:tcW w:w="4909" w:type="dxa"/>
          </w:tcPr>
          <w:p w:rsidR="005C0E35" w:rsidRDefault="005C0E35" w:rsidP="004411D3">
            <w:pPr>
              <w:pStyle w:val="Testonormale"/>
              <w:spacing w:before="0"/>
              <w:jc w:val="center"/>
              <w:rPr>
                <w:b/>
                <w:bCs/>
                <w:color w:val="808080"/>
              </w:rPr>
            </w:pPr>
          </w:p>
          <w:p w:rsidR="005C0E35" w:rsidRDefault="005C0E35" w:rsidP="004411D3">
            <w:pPr>
              <w:pStyle w:val="Testonormale"/>
              <w:spacing w:before="0"/>
              <w:jc w:val="center"/>
              <w:rPr>
                <w:b/>
                <w:bCs/>
                <w:color w:val="808080"/>
              </w:rPr>
            </w:pPr>
            <w:r>
              <w:rPr>
                <w:b/>
                <w:bCs/>
                <w:color w:val="808080"/>
              </w:rPr>
              <w:t>LIGO Livingston Observatory</w:t>
            </w:r>
          </w:p>
          <w:p w:rsidR="005C0E35" w:rsidRDefault="005C0E35" w:rsidP="004411D3">
            <w:pPr>
              <w:pStyle w:val="Testonormale"/>
              <w:spacing w:before="0"/>
              <w:jc w:val="center"/>
              <w:rPr>
                <w:b/>
                <w:bCs/>
                <w:color w:val="808080"/>
              </w:rPr>
            </w:pPr>
            <w:r>
              <w:rPr>
                <w:b/>
                <w:bCs/>
                <w:color w:val="808080"/>
              </w:rPr>
              <w:t>P.O. Box 940</w:t>
            </w:r>
          </w:p>
          <w:p w:rsidR="005C0E35" w:rsidRDefault="005C0E35" w:rsidP="004411D3">
            <w:pPr>
              <w:pStyle w:val="Testonormale"/>
              <w:spacing w:before="0"/>
              <w:jc w:val="center"/>
              <w:rPr>
                <w:b/>
                <w:bCs/>
                <w:color w:val="808080"/>
              </w:rPr>
            </w:pPr>
            <w:r>
              <w:rPr>
                <w:b/>
                <w:bCs/>
                <w:color w:val="808080"/>
              </w:rPr>
              <w:t>Livingston, LA  70754</w:t>
            </w:r>
          </w:p>
          <w:p w:rsidR="005C0E35" w:rsidRDefault="005C0E35" w:rsidP="004411D3">
            <w:pPr>
              <w:pStyle w:val="Testonormale"/>
              <w:spacing w:before="0"/>
              <w:jc w:val="center"/>
              <w:rPr>
                <w:color w:val="808080"/>
              </w:rPr>
            </w:pPr>
            <w:r>
              <w:rPr>
                <w:color w:val="808080"/>
              </w:rPr>
              <w:t>Phone 225-686-3100</w:t>
            </w:r>
          </w:p>
          <w:p w:rsidR="005C0E35" w:rsidRDefault="005C0E35" w:rsidP="004411D3">
            <w:pPr>
              <w:pStyle w:val="Testonormale"/>
              <w:spacing w:before="0"/>
              <w:jc w:val="center"/>
              <w:rPr>
                <w:b/>
                <w:bCs/>
                <w:color w:val="808080"/>
              </w:rPr>
            </w:pPr>
            <w:r>
              <w:rPr>
                <w:color w:val="808080"/>
              </w:rPr>
              <w:t>Fax 225-686-7189</w:t>
            </w:r>
          </w:p>
        </w:tc>
      </w:tr>
    </w:tbl>
    <w:p w:rsidR="005C0E35" w:rsidRPr="005C0E35" w:rsidRDefault="005C0E35" w:rsidP="005C0E35">
      <w:pPr>
        <w:pStyle w:val="Testonormale"/>
        <w:jc w:val="center"/>
        <w:rPr>
          <w:lang w:val="it-IT"/>
        </w:rPr>
      </w:pPr>
      <w:r w:rsidRPr="005C0E35">
        <w:rPr>
          <w:lang w:val="it-IT"/>
        </w:rPr>
        <w:t>http://www.ligo.caltech.edu/</w:t>
      </w:r>
    </w:p>
    <w:p w:rsidR="00AD5C0B" w:rsidRPr="005C0E35" w:rsidRDefault="005C0E35" w:rsidP="005C0E35">
      <w:pPr>
        <w:jc w:val="center"/>
        <w:rPr>
          <w:b/>
          <w:sz w:val="44"/>
          <w:szCs w:val="44"/>
        </w:rPr>
      </w:pPr>
      <w:r>
        <w:br w:type="page"/>
      </w:r>
    </w:p>
    <w:p w:rsidR="0036094F" w:rsidRPr="00156B1D" w:rsidRDefault="0036094F" w:rsidP="0036094F">
      <w:pPr>
        <w:jc w:val="center"/>
      </w:pPr>
    </w:p>
    <w:p w:rsidR="0036094F" w:rsidRDefault="0036094F" w:rsidP="0036094F">
      <w:pPr>
        <w:jc w:val="center"/>
        <w:rPr>
          <w:lang w:val="en-US"/>
        </w:rPr>
      </w:pPr>
      <w:r>
        <w:rPr>
          <w:lang w:val="en-US"/>
        </w:rPr>
        <w:t>Abstract</w:t>
      </w:r>
    </w:p>
    <w:p w:rsidR="0036094F" w:rsidRPr="004245B5" w:rsidRDefault="0036094F" w:rsidP="0036094F">
      <w:pPr>
        <w:jc w:val="both"/>
        <w:rPr>
          <w:i/>
          <w:lang w:val="en-US"/>
        </w:rPr>
      </w:pPr>
      <w:r>
        <w:rPr>
          <w:i/>
          <w:lang w:val="en-US"/>
        </w:rPr>
        <w:t>D</w:t>
      </w:r>
      <w:r w:rsidRPr="004245B5">
        <w:rPr>
          <w:i/>
          <w:lang w:val="en-US"/>
        </w:rPr>
        <w:t xml:space="preserve">eep underground seismic studies are required </w:t>
      </w:r>
      <w:r>
        <w:rPr>
          <w:i/>
          <w:lang w:val="en-US"/>
        </w:rPr>
        <w:t xml:space="preserve">in order </w:t>
      </w:r>
      <w:r w:rsidRPr="004245B5">
        <w:rPr>
          <w:i/>
          <w:lang w:val="en-US"/>
        </w:rPr>
        <w:t>to find</w:t>
      </w:r>
      <w:r>
        <w:rPr>
          <w:i/>
          <w:lang w:val="en-US"/>
        </w:rPr>
        <w:t xml:space="preserve"> a way to reduce the Newtonian n</w:t>
      </w:r>
      <w:r w:rsidRPr="004245B5">
        <w:rPr>
          <w:i/>
          <w:lang w:val="en-US"/>
        </w:rPr>
        <w:t xml:space="preserve">oise </w:t>
      </w:r>
      <w:r>
        <w:rPr>
          <w:i/>
          <w:lang w:val="en-US"/>
        </w:rPr>
        <w:t xml:space="preserve">in frequency range </w:t>
      </w:r>
      <w:r w:rsidRPr="004245B5">
        <w:rPr>
          <w:i/>
          <w:lang w:val="en-US"/>
        </w:rPr>
        <w:t>below 10Hz i</w:t>
      </w:r>
      <w:r>
        <w:rPr>
          <w:i/>
          <w:lang w:val="en-US"/>
        </w:rPr>
        <w:t>n third generation underground gravitational-wave interferometric d</w:t>
      </w:r>
      <w:r w:rsidRPr="004245B5">
        <w:rPr>
          <w:i/>
          <w:lang w:val="en-US"/>
        </w:rPr>
        <w:t>etector data.</w:t>
      </w:r>
      <w:r>
        <w:rPr>
          <w:i/>
          <w:lang w:val="en-US"/>
        </w:rPr>
        <w:t xml:space="preserve"> A very promising site for such studies was located in the former Homestake mine in  Lead, SD. A brief description of geology and infrastructure of the site is given. </w:t>
      </w:r>
      <w:r w:rsidRPr="004245B5">
        <w:rPr>
          <w:i/>
          <w:lang w:val="en-US"/>
        </w:rPr>
        <w:t>Between June and July 2009 five new seismometer stations were built in the Sanford Underground Laboratory</w:t>
      </w:r>
      <w:r>
        <w:rPr>
          <w:i/>
          <w:lang w:val="en-US"/>
        </w:rPr>
        <w:t xml:space="preserve"> </w:t>
      </w:r>
      <w:r w:rsidRPr="004245B5">
        <w:rPr>
          <w:i/>
          <w:lang w:val="en-US"/>
        </w:rPr>
        <w:t>in addition to the pre-existent three stations, realizing the present day array of eight stations. The construction of the new stations required stabilization and insulation of the seismometer sites, monitoring of environmental conditions and development of the network. Correlation measurements between neighboring stations would provide the most rele</w:t>
      </w:r>
      <w:r>
        <w:rPr>
          <w:i/>
          <w:lang w:val="en-US"/>
        </w:rPr>
        <w:t>vant results for the evaluation of the Newtonian n</w:t>
      </w:r>
      <w:r w:rsidRPr="004245B5">
        <w:rPr>
          <w:i/>
          <w:lang w:val="en-US"/>
        </w:rPr>
        <w:t xml:space="preserve">oise subtraction technique. Finally preliminary results from the comparison between </w:t>
      </w:r>
      <w:r>
        <w:rPr>
          <w:i/>
          <w:lang w:val="en-US"/>
        </w:rPr>
        <w:t xml:space="preserve">seismic data from Homestake deep underground </w:t>
      </w:r>
      <w:r w:rsidRPr="004245B5">
        <w:rPr>
          <w:i/>
          <w:lang w:val="en-US"/>
        </w:rPr>
        <w:t>and</w:t>
      </w:r>
      <w:r>
        <w:rPr>
          <w:i/>
          <w:lang w:val="en-US"/>
        </w:rPr>
        <w:t xml:space="preserve"> the LIGO Hanford site</w:t>
      </w:r>
      <w:r w:rsidRPr="004245B5">
        <w:rPr>
          <w:i/>
          <w:lang w:val="en-US"/>
        </w:rPr>
        <w:t xml:space="preserve"> are presented.</w:t>
      </w:r>
    </w:p>
    <w:p w:rsidR="005C0E35" w:rsidRPr="0036094F" w:rsidRDefault="005C0E35" w:rsidP="004245B5">
      <w:pPr>
        <w:jc w:val="center"/>
        <w:rPr>
          <w:b/>
          <w:sz w:val="44"/>
          <w:szCs w:val="44"/>
          <w:lang w:val="en-US"/>
        </w:rPr>
      </w:pPr>
    </w:p>
    <w:p w:rsidR="005C0E35" w:rsidRPr="0036094F" w:rsidRDefault="005C0E35" w:rsidP="004245B5">
      <w:pPr>
        <w:jc w:val="center"/>
        <w:rPr>
          <w:b/>
          <w:sz w:val="44"/>
          <w:szCs w:val="44"/>
          <w:lang w:val="en-US"/>
        </w:rPr>
      </w:pPr>
    </w:p>
    <w:p w:rsidR="005C0E35" w:rsidRPr="0036094F" w:rsidRDefault="005C0E35" w:rsidP="004245B5">
      <w:pPr>
        <w:jc w:val="center"/>
        <w:rPr>
          <w:b/>
          <w:sz w:val="44"/>
          <w:szCs w:val="44"/>
          <w:lang w:val="en-US"/>
        </w:rPr>
      </w:pPr>
    </w:p>
    <w:p w:rsidR="005C0E35" w:rsidRPr="0036094F" w:rsidRDefault="005C0E35" w:rsidP="004245B5">
      <w:pPr>
        <w:jc w:val="center"/>
        <w:rPr>
          <w:b/>
          <w:sz w:val="44"/>
          <w:szCs w:val="44"/>
          <w:lang w:val="en-US"/>
        </w:rPr>
      </w:pPr>
    </w:p>
    <w:p w:rsidR="005C0E35" w:rsidRPr="0036094F" w:rsidRDefault="005C0E35" w:rsidP="004245B5">
      <w:pPr>
        <w:jc w:val="center"/>
        <w:rPr>
          <w:b/>
          <w:sz w:val="44"/>
          <w:szCs w:val="44"/>
          <w:lang w:val="en-US"/>
        </w:rPr>
      </w:pPr>
    </w:p>
    <w:p w:rsidR="005C0E35" w:rsidRPr="0036094F" w:rsidRDefault="005C0E35" w:rsidP="004245B5">
      <w:pPr>
        <w:jc w:val="center"/>
        <w:rPr>
          <w:b/>
          <w:sz w:val="44"/>
          <w:szCs w:val="44"/>
          <w:lang w:val="en-US"/>
        </w:rPr>
      </w:pPr>
    </w:p>
    <w:p w:rsidR="005C0E35" w:rsidRPr="0036094F" w:rsidRDefault="005C0E35" w:rsidP="004245B5">
      <w:pPr>
        <w:jc w:val="center"/>
        <w:rPr>
          <w:b/>
          <w:sz w:val="44"/>
          <w:szCs w:val="44"/>
          <w:lang w:val="en-US"/>
        </w:rPr>
      </w:pPr>
    </w:p>
    <w:p w:rsidR="005C0E35" w:rsidRPr="0036094F" w:rsidRDefault="005C0E35" w:rsidP="004245B5">
      <w:pPr>
        <w:jc w:val="center"/>
        <w:rPr>
          <w:b/>
          <w:sz w:val="44"/>
          <w:szCs w:val="44"/>
          <w:lang w:val="en-US"/>
        </w:rPr>
      </w:pPr>
    </w:p>
    <w:p w:rsidR="005C0E35" w:rsidRPr="0036094F" w:rsidRDefault="005C0E35" w:rsidP="004245B5">
      <w:pPr>
        <w:jc w:val="center"/>
        <w:rPr>
          <w:b/>
          <w:sz w:val="44"/>
          <w:szCs w:val="44"/>
          <w:lang w:val="en-US"/>
        </w:rPr>
      </w:pPr>
    </w:p>
    <w:p w:rsidR="005C0E35" w:rsidRPr="0036094F" w:rsidRDefault="005C0E35" w:rsidP="004245B5">
      <w:pPr>
        <w:jc w:val="center"/>
        <w:rPr>
          <w:b/>
          <w:sz w:val="44"/>
          <w:szCs w:val="44"/>
          <w:lang w:val="en-US"/>
        </w:rPr>
      </w:pPr>
    </w:p>
    <w:p w:rsidR="005C0E35" w:rsidRPr="0036094F" w:rsidRDefault="005C0E35" w:rsidP="004245B5">
      <w:pPr>
        <w:jc w:val="center"/>
        <w:rPr>
          <w:b/>
          <w:sz w:val="44"/>
          <w:szCs w:val="44"/>
          <w:lang w:val="en-US"/>
        </w:rPr>
      </w:pPr>
    </w:p>
    <w:p w:rsidR="0036094F" w:rsidRDefault="0036094F" w:rsidP="00927178">
      <w:pPr>
        <w:jc w:val="both"/>
        <w:rPr>
          <w:b/>
          <w:sz w:val="28"/>
          <w:szCs w:val="28"/>
          <w:lang w:val="en-US"/>
        </w:rPr>
      </w:pPr>
    </w:p>
    <w:p w:rsidR="00B470FF" w:rsidRPr="00AA462C" w:rsidRDefault="004245B5" w:rsidP="00927178">
      <w:pPr>
        <w:jc w:val="both"/>
        <w:rPr>
          <w:b/>
          <w:sz w:val="28"/>
          <w:szCs w:val="28"/>
          <w:lang w:val="en-US"/>
        </w:rPr>
      </w:pPr>
      <w:r w:rsidRPr="00AA462C">
        <w:rPr>
          <w:b/>
          <w:sz w:val="28"/>
          <w:szCs w:val="28"/>
          <w:lang w:val="en-US"/>
        </w:rPr>
        <w:lastRenderedPageBreak/>
        <w:t>I.</w:t>
      </w:r>
      <w:r w:rsidR="00B470FF" w:rsidRPr="00AA462C">
        <w:rPr>
          <w:b/>
          <w:sz w:val="28"/>
          <w:szCs w:val="28"/>
          <w:lang w:val="en-US"/>
        </w:rPr>
        <w:t xml:space="preserve"> Introduction</w:t>
      </w:r>
    </w:p>
    <w:p w:rsidR="00964ADA" w:rsidRDefault="00712B9A" w:rsidP="00927178">
      <w:pPr>
        <w:jc w:val="both"/>
        <w:rPr>
          <w:lang w:val="en-US"/>
        </w:rPr>
      </w:pPr>
      <w:r>
        <w:rPr>
          <w:lang w:val="en-US"/>
        </w:rPr>
        <w:t>Future gravitational wave interferometric detectors (GWID from now on) will likely pro</w:t>
      </w:r>
      <w:r w:rsidR="00634DD8">
        <w:rPr>
          <w:lang w:val="en-US"/>
        </w:rPr>
        <w:t>be frequencies below 10 Hz, which</w:t>
      </w:r>
      <w:r>
        <w:rPr>
          <w:lang w:val="en-US"/>
        </w:rPr>
        <w:t xml:space="preserve"> is the detection limit for</w:t>
      </w:r>
      <w:r w:rsidR="00A15385">
        <w:rPr>
          <w:lang w:val="en-US"/>
        </w:rPr>
        <w:t xml:space="preserve"> 2</w:t>
      </w:r>
      <w:r w:rsidR="00A15385" w:rsidRPr="00A15385">
        <w:rPr>
          <w:vertAlign w:val="superscript"/>
          <w:lang w:val="en-US"/>
        </w:rPr>
        <w:t>nd</w:t>
      </w:r>
      <w:r w:rsidR="00A15385">
        <w:rPr>
          <w:lang w:val="en-US"/>
        </w:rPr>
        <w:t xml:space="preserve"> generation</w:t>
      </w:r>
      <w:r>
        <w:rPr>
          <w:lang w:val="en-US"/>
        </w:rPr>
        <w:t xml:space="preserve"> surface-based GWID.</w:t>
      </w:r>
      <w:r w:rsidR="00206F54">
        <w:rPr>
          <w:lang w:val="en-US"/>
        </w:rPr>
        <w:t xml:space="preserve"> In this range of frequencies th</w:t>
      </w:r>
      <w:r w:rsidR="00964ADA">
        <w:rPr>
          <w:lang w:val="en-US"/>
        </w:rPr>
        <w:t>e seismic noise is dominant:</w:t>
      </w:r>
      <w:r w:rsidR="00206F54">
        <w:rPr>
          <w:lang w:val="en-US"/>
        </w:rPr>
        <w:t xml:space="preserve"> while </w:t>
      </w:r>
      <w:r w:rsidR="00634DD8">
        <w:rPr>
          <w:lang w:val="en-US"/>
        </w:rPr>
        <w:t>in principle it i</w:t>
      </w:r>
      <w:r w:rsidR="00206F54">
        <w:rPr>
          <w:lang w:val="en-US"/>
        </w:rPr>
        <w:t>s possible to filter the</w:t>
      </w:r>
      <w:r w:rsidR="00964ADA">
        <w:rPr>
          <w:lang w:val="en-US"/>
        </w:rPr>
        <w:t xml:space="preserve"> </w:t>
      </w:r>
      <w:r w:rsidR="00634DD8">
        <w:rPr>
          <w:lang w:val="en-US"/>
        </w:rPr>
        <w:t xml:space="preserve">mechanical </w:t>
      </w:r>
      <w:r w:rsidR="00964ADA">
        <w:rPr>
          <w:lang w:val="en-US"/>
        </w:rPr>
        <w:t>noise from</w:t>
      </w:r>
      <w:r w:rsidR="00206F54">
        <w:rPr>
          <w:lang w:val="en-US"/>
        </w:rPr>
        <w:t xml:space="preserve"> Earth’s crust motion </w:t>
      </w:r>
      <w:r w:rsidR="00964ADA">
        <w:rPr>
          <w:lang w:val="en-US"/>
        </w:rPr>
        <w:t xml:space="preserve">due to tidal stresses, </w:t>
      </w:r>
      <w:r w:rsidR="00206F54">
        <w:rPr>
          <w:lang w:val="en-US"/>
        </w:rPr>
        <w:t>seismic activity</w:t>
      </w:r>
      <w:r w:rsidR="00964ADA">
        <w:rPr>
          <w:lang w:val="en-US"/>
        </w:rPr>
        <w:t xml:space="preserve"> and ocean dynamics</w:t>
      </w:r>
      <w:r w:rsidR="006A5015">
        <w:rPr>
          <w:lang w:val="en-US"/>
        </w:rPr>
        <w:t xml:space="preserve"> a</w:t>
      </w:r>
      <w:r w:rsidR="00964ADA">
        <w:rPr>
          <w:lang w:val="en-US"/>
        </w:rPr>
        <w:t xml:space="preserve">s well as human activities noise </w:t>
      </w:r>
      <w:r w:rsidR="00206F54">
        <w:rPr>
          <w:lang w:val="en-US"/>
        </w:rPr>
        <w:t>with a</w:t>
      </w:r>
      <w:r w:rsidR="006A5015">
        <w:rPr>
          <w:lang w:val="en-US"/>
        </w:rPr>
        <w:t>n</w:t>
      </w:r>
      <w:r w:rsidR="00206F54">
        <w:rPr>
          <w:lang w:val="en-US"/>
        </w:rPr>
        <w:t xml:space="preserve"> adequate chain to </w:t>
      </w:r>
      <w:r w:rsidR="001824F9">
        <w:rPr>
          <w:lang w:val="en-US"/>
        </w:rPr>
        <w:t>suspend the test masses, it</w:t>
      </w:r>
      <w:r w:rsidR="00634DD8">
        <w:rPr>
          <w:lang w:val="en-US"/>
        </w:rPr>
        <w:t xml:space="preserve"> i</w:t>
      </w:r>
      <w:r w:rsidR="00206F54">
        <w:rPr>
          <w:lang w:val="en-US"/>
        </w:rPr>
        <w:t>s impossible to filter the Newtonian Noise</w:t>
      </w:r>
      <w:r w:rsidR="00634DD8">
        <w:rPr>
          <w:lang w:val="en-US"/>
        </w:rPr>
        <w:t xml:space="preserve"> (</w:t>
      </w:r>
      <w:r w:rsidR="00885721">
        <w:rPr>
          <w:lang w:val="en-US"/>
        </w:rPr>
        <w:t>gravity gradient noise</w:t>
      </w:r>
      <w:r w:rsidR="00634DD8">
        <w:rPr>
          <w:lang w:val="en-US"/>
        </w:rPr>
        <w:t>, GGN from now on</w:t>
      </w:r>
      <w:r w:rsidR="00885721">
        <w:rPr>
          <w:lang w:val="en-US"/>
        </w:rPr>
        <w:t>)</w:t>
      </w:r>
      <w:r w:rsidR="00206F54">
        <w:rPr>
          <w:lang w:val="en-US"/>
        </w:rPr>
        <w:t xml:space="preserve"> </w:t>
      </w:r>
      <w:r w:rsidR="00634DD8">
        <w:rPr>
          <w:lang w:val="en-US"/>
        </w:rPr>
        <w:t>which is random motion directly induced on the test mass by Earth’s f</w:t>
      </w:r>
      <w:r w:rsidR="00206F54">
        <w:rPr>
          <w:lang w:val="en-US"/>
        </w:rPr>
        <w:t>luctuating gravity field</w:t>
      </w:r>
      <w:r w:rsidR="00885721">
        <w:rPr>
          <w:lang w:val="en-US"/>
        </w:rPr>
        <w:t xml:space="preserve"> bypassing all the attenuation stages of the </w:t>
      </w:r>
      <w:r w:rsidR="00216146">
        <w:rPr>
          <w:lang w:val="en-US"/>
        </w:rPr>
        <w:t>filter-</w:t>
      </w:r>
      <w:r w:rsidR="00885721">
        <w:rPr>
          <w:lang w:val="en-US"/>
        </w:rPr>
        <w:t>chain.</w:t>
      </w:r>
      <w:r w:rsidR="00206F54">
        <w:rPr>
          <w:lang w:val="en-US"/>
        </w:rPr>
        <w:t xml:space="preserve"> </w:t>
      </w:r>
      <w:r w:rsidR="00634DD8">
        <w:rPr>
          <w:lang w:val="en-US"/>
        </w:rPr>
        <w:t>Time variations of</w:t>
      </w:r>
      <w:r w:rsidR="006A5015">
        <w:rPr>
          <w:lang w:val="en-US"/>
        </w:rPr>
        <w:t xml:space="preserve"> the gravity field around the test mass are caused by seismic and atmospheric density variations</w:t>
      </w:r>
      <w:r w:rsidR="00964ADA">
        <w:rPr>
          <w:lang w:val="en-US"/>
        </w:rPr>
        <w:t>.</w:t>
      </w:r>
    </w:p>
    <w:p w:rsidR="004B5F3A" w:rsidRPr="00F25EB0" w:rsidRDefault="00941608" w:rsidP="004B5F3A">
      <w:pPr>
        <w:keepNext/>
        <w:jc w:val="both"/>
        <w:rPr>
          <w:lang w:val="en-US"/>
        </w:rPr>
      </w:pPr>
      <w:r w:rsidRPr="00941608">
        <w:rPr>
          <w:noProof/>
          <w:lang w:eastAsia="it-IT"/>
        </w:rPr>
        <w:drawing>
          <wp:inline distT="0" distB="0" distL="0" distR="0">
            <wp:extent cx="6120130" cy="4766852"/>
            <wp:effectExtent l="19050" t="0" r="0" b="0"/>
            <wp:docPr id="1" name="Immagine 1" descr="C:\Documents and Settings\pc\Desktop\seminario_homestake\NOISE advligo.JPG"/>
            <wp:cNvGraphicFramePr/>
            <a:graphic xmlns:a="http://schemas.openxmlformats.org/drawingml/2006/main">
              <a:graphicData uri="http://schemas.openxmlformats.org/drawingml/2006/picture">
                <pic:pic xmlns:pic="http://schemas.openxmlformats.org/drawingml/2006/picture">
                  <pic:nvPicPr>
                    <pic:cNvPr id="31746" name="Picture 2" descr="C:\Documents and Settings\pc\Desktop\seminario_homestake\NOISE advligo.JPG"/>
                    <pic:cNvPicPr>
                      <a:picLocks noChangeAspect="1" noChangeArrowheads="1"/>
                    </pic:cNvPicPr>
                  </pic:nvPicPr>
                  <pic:blipFill>
                    <a:blip r:embed="rId7"/>
                    <a:srcRect/>
                    <a:stretch>
                      <a:fillRect/>
                    </a:stretch>
                  </pic:blipFill>
                  <pic:spPr bwMode="auto">
                    <a:xfrm>
                      <a:off x="0" y="0"/>
                      <a:ext cx="6122670" cy="4770120"/>
                    </a:xfrm>
                    <a:prstGeom prst="rect">
                      <a:avLst/>
                    </a:prstGeom>
                    <a:noFill/>
                    <a:ln w="9525">
                      <a:noFill/>
                      <a:miter lim="800000"/>
                      <a:headEnd/>
                      <a:tailEnd/>
                    </a:ln>
                  </pic:spPr>
                </pic:pic>
              </a:graphicData>
            </a:graphic>
          </wp:inline>
        </w:drawing>
      </w:r>
    </w:p>
    <w:p w:rsidR="00774C88" w:rsidRPr="00570FE0" w:rsidRDefault="004B5F3A" w:rsidP="004B5F3A">
      <w:pPr>
        <w:pStyle w:val="Didascalia"/>
        <w:jc w:val="both"/>
        <w:rPr>
          <w:color w:val="1F497D" w:themeColor="text2"/>
          <w:lang w:val="en-US"/>
        </w:rPr>
      </w:pPr>
      <w:r w:rsidRPr="00570FE0">
        <w:rPr>
          <w:color w:val="1F497D" w:themeColor="text2"/>
          <w:lang w:val="en-US"/>
        </w:rPr>
        <w:t xml:space="preserve">Figure </w:t>
      </w:r>
      <w:r w:rsidR="009B29F4" w:rsidRPr="00570FE0">
        <w:rPr>
          <w:color w:val="1F497D" w:themeColor="text2"/>
        </w:rPr>
        <w:fldChar w:fldCharType="begin"/>
      </w:r>
      <w:r w:rsidRPr="00570FE0">
        <w:rPr>
          <w:color w:val="1F497D" w:themeColor="text2"/>
          <w:lang w:val="en-US"/>
        </w:rPr>
        <w:instrText xml:space="preserve"> SEQ Figure \* ARABIC </w:instrText>
      </w:r>
      <w:r w:rsidR="009B29F4" w:rsidRPr="00570FE0">
        <w:rPr>
          <w:color w:val="1F497D" w:themeColor="text2"/>
        </w:rPr>
        <w:fldChar w:fldCharType="separate"/>
      </w:r>
      <w:r w:rsidR="00156B1D">
        <w:rPr>
          <w:noProof/>
          <w:color w:val="1F497D" w:themeColor="text2"/>
          <w:lang w:val="en-US"/>
        </w:rPr>
        <w:t>1</w:t>
      </w:r>
      <w:r w:rsidR="009B29F4" w:rsidRPr="00570FE0">
        <w:rPr>
          <w:color w:val="1F497D" w:themeColor="text2"/>
        </w:rPr>
        <w:fldChar w:fldCharType="end"/>
      </w:r>
      <w:r w:rsidRPr="00570FE0">
        <w:rPr>
          <w:color w:val="1F497D" w:themeColor="text2"/>
          <w:lang w:val="en-US"/>
        </w:rPr>
        <w:t>: noise sources for Advanced LIGO; the green solid line shows the behavior of the gravity gradient noise (i.e. Newtonian Noise) depending on frequency</w:t>
      </w:r>
      <w:sdt>
        <w:sdtPr>
          <w:rPr>
            <w:color w:val="1F497D" w:themeColor="text2"/>
            <w:vertAlign w:val="superscript"/>
            <w:lang w:val="en-US"/>
          </w:rPr>
          <w:id w:val="5660404"/>
          <w:citation/>
        </w:sdtPr>
        <w:sdtContent>
          <w:r w:rsidR="009B29F4" w:rsidRPr="00EA11C8">
            <w:rPr>
              <w:color w:val="1F497D" w:themeColor="text2"/>
              <w:vertAlign w:val="superscript"/>
              <w:lang w:val="en-US"/>
            </w:rPr>
            <w:fldChar w:fldCharType="begin"/>
          </w:r>
          <w:r w:rsidR="00D80214" w:rsidRPr="00EA11C8">
            <w:rPr>
              <w:color w:val="1F497D" w:themeColor="text2"/>
              <w:vertAlign w:val="superscript"/>
              <w:lang w:val="en-US"/>
            </w:rPr>
            <w:instrText xml:space="preserve"> CITATION MGB09 \l 1040 </w:instrText>
          </w:r>
          <w:r w:rsidR="009B29F4" w:rsidRPr="00EA11C8">
            <w:rPr>
              <w:color w:val="1F497D" w:themeColor="text2"/>
              <w:vertAlign w:val="superscript"/>
              <w:lang w:val="en-US"/>
            </w:rPr>
            <w:fldChar w:fldCharType="separate"/>
          </w:r>
          <w:r w:rsidR="00EB71AC">
            <w:rPr>
              <w:noProof/>
              <w:color w:val="1F497D" w:themeColor="text2"/>
              <w:vertAlign w:val="superscript"/>
              <w:lang w:val="en-US"/>
            </w:rPr>
            <w:t xml:space="preserve"> </w:t>
          </w:r>
          <w:r w:rsidR="00EB71AC" w:rsidRPr="00EB71AC">
            <w:rPr>
              <w:noProof/>
              <w:color w:val="1F497D" w:themeColor="text2"/>
              <w:vertAlign w:val="superscript"/>
              <w:lang w:val="en-US"/>
            </w:rPr>
            <w:t>(1)</w:t>
          </w:r>
          <w:r w:rsidR="009B29F4" w:rsidRPr="00EA11C8">
            <w:rPr>
              <w:color w:val="1F497D" w:themeColor="text2"/>
              <w:vertAlign w:val="superscript"/>
              <w:lang w:val="en-US"/>
            </w:rPr>
            <w:fldChar w:fldCharType="end"/>
          </w:r>
        </w:sdtContent>
      </w:sdt>
      <w:r w:rsidRPr="00570FE0">
        <w:rPr>
          <w:color w:val="1F497D" w:themeColor="text2"/>
          <w:lang w:val="en-US"/>
        </w:rPr>
        <w:t>.</w:t>
      </w:r>
    </w:p>
    <w:p w:rsidR="007E057A" w:rsidRDefault="007E057A" w:rsidP="00927178">
      <w:pPr>
        <w:jc w:val="both"/>
        <w:rPr>
          <w:lang w:val="en-US"/>
        </w:rPr>
      </w:pPr>
    </w:p>
    <w:p w:rsidR="00964ADA" w:rsidRDefault="00964ADA" w:rsidP="00927178">
      <w:pPr>
        <w:jc w:val="both"/>
        <w:rPr>
          <w:lang w:val="en-US"/>
        </w:rPr>
      </w:pPr>
      <w:r>
        <w:rPr>
          <w:lang w:val="en-US"/>
        </w:rPr>
        <w:t xml:space="preserve">A first step to suppress the </w:t>
      </w:r>
      <w:r w:rsidR="00634DD8">
        <w:rPr>
          <w:lang w:val="en-US"/>
        </w:rPr>
        <w:t>GGN</w:t>
      </w:r>
      <w:r>
        <w:rPr>
          <w:lang w:val="en-US"/>
        </w:rPr>
        <w:t xml:space="preserve"> is to find a low seismicity site, then it is needed to avoid as much as possible density fluctuations and surface modes: this </w:t>
      </w:r>
      <w:r w:rsidR="00774C88" w:rsidRPr="00774C88">
        <w:rPr>
          <w:lang w:val="en-US"/>
        </w:rPr>
        <w:t>objective can be achieved</w:t>
      </w:r>
      <w:r w:rsidR="001824F9">
        <w:rPr>
          <w:lang w:val="en-US"/>
        </w:rPr>
        <w:t xml:space="preserve"> in a deep underground site; moreover th</w:t>
      </w:r>
      <w:r w:rsidR="0056480F">
        <w:rPr>
          <w:lang w:val="en-US"/>
        </w:rPr>
        <w:t>e human activities noise is more</w:t>
      </w:r>
      <w:r w:rsidR="001824F9">
        <w:rPr>
          <w:lang w:val="en-US"/>
        </w:rPr>
        <w:t xml:space="preserve"> controllable underground rather than </w:t>
      </w:r>
      <w:r w:rsidR="00BF4D9E">
        <w:rPr>
          <w:lang w:val="en-US"/>
        </w:rPr>
        <w:t xml:space="preserve">in </w:t>
      </w:r>
      <w:r w:rsidR="001824F9">
        <w:rPr>
          <w:lang w:val="en-US"/>
        </w:rPr>
        <w:t xml:space="preserve">surface. </w:t>
      </w:r>
      <w:r w:rsidR="00634DD8">
        <w:rPr>
          <w:lang w:val="en-US"/>
        </w:rPr>
        <w:t>A</w:t>
      </w:r>
      <w:r w:rsidR="001824F9">
        <w:rPr>
          <w:lang w:val="en-US"/>
        </w:rPr>
        <w:t>dvantage</w:t>
      </w:r>
      <w:r w:rsidR="00453BC6">
        <w:rPr>
          <w:lang w:val="en-US"/>
        </w:rPr>
        <w:t>s</w:t>
      </w:r>
      <w:r w:rsidR="001824F9">
        <w:rPr>
          <w:lang w:val="en-US"/>
        </w:rPr>
        <w:t xml:space="preserve"> of an underground site is the</w:t>
      </w:r>
      <w:r w:rsidR="005E4817">
        <w:rPr>
          <w:lang w:val="en-US"/>
        </w:rPr>
        <w:t xml:space="preserve"> exponential reduction of the </w:t>
      </w:r>
      <w:r w:rsidR="00634DD8">
        <w:rPr>
          <w:lang w:val="en-US"/>
        </w:rPr>
        <w:t>surface</w:t>
      </w:r>
      <w:r w:rsidR="001824F9">
        <w:rPr>
          <w:lang w:val="en-US"/>
        </w:rPr>
        <w:t xml:space="preserve"> </w:t>
      </w:r>
      <w:r w:rsidR="005E4817">
        <w:rPr>
          <w:lang w:val="en-US"/>
        </w:rPr>
        <w:t>seismic noise</w:t>
      </w:r>
      <w:r w:rsidR="001824F9">
        <w:rPr>
          <w:lang w:val="en-US"/>
        </w:rPr>
        <w:t xml:space="preserve"> </w:t>
      </w:r>
      <w:r w:rsidR="00634DD8">
        <w:rPr>
          <w:lang w:val="en-US"/>
        </w:rPr>
        <w:t>with</w:t>
      </w:r>
      <w:r w:rsidR="005E4817">
        <w:rPr>
          <w:lang w:val="en-US"/>
        </w:rPr>
        <w:t xml:space="preserve"> depth</w:t>
      </w:r>
      <w:r w:rsidR="00453BC6">
        <w:rPr>
          <w:lang w:val="en-US"/>
        </w:rPr>
        <w:t xml:space="preserve"> as well as a much longer correlation </w:t>
      </w:r>
      <w:r w:rsidR="00634DD8">
        <w:rPr>
          <w:lang w:val="en-US"/>
        </w:rPr>
        <w:t>length: this implies</w:t>
      </w:r>
      <w:r w:rsidR="00141A7B">
        <w:rPr>
          <w:lang w:val="en-US"/>
        </w:rPr>
        <w:t xml:space="preserve"> </w:t>
      </w:r>
      <w:r w:rsidR="00453BC6">
        <w:rPr>
          <w:lang w:val="en-US"/>
        </w:rPr>
        <w:t>correlation</w:t>
      </w:r>
      <w:r w:rsidR="00141A7B">
        <w:rPr>
          <w:lang w:val="en-US"/>
        </w:rPr>
        <w:t xml:space="preserve"> of the gravity gradients across the entire GWID and a smaller number of instruments needed for an active suppression</w:t>
      </w:r>
      <w:r w:rsidR="001824F9">
        <w:rPr>
          <w:lang w:val="en-US"/>
        </w:rPr>
        <w:t xml:space="preserve">. </w:t>
      </w:r>
      <w:r w:rsidR="00E10031">
        <w:rPr>
          <w:lang w:val="en-US"/>
        </w:rPr>
        <w:t>The knowledge of the wave propagatio</w:t>
      </w:r>
      <w:r w:rsidR="000E6989">
        <w:rPr>
          <w:lang w:val="en-US"/>
        </w:rPr>
        <w:t xml:space="preserve">n in the underground rock strata </w:t>
      </w:r>
      <w:r w:rsidR="00242F97">
        <w:rPr>
          <w:lang w:val="en-US"/>
        </w:rPr>
        <w:t xml:space="preserve">and the development of an appropriate theoretical model will </w:t>
      </w:r>
      <w:r w:rsidR="00242F97">
        <w:rPr>
          <w:lang w:val="en-US"/>
        </w:rPr>
        <w:lastRenderedPageBreak/>
        <w:t>lead to</w:t>
      </w:r>
      <w:r w:rsidR="00E10031">
        <w:rPr>
          <w:lang w:val="en-US"/>
        </w:rPr>
        <w:t xml:space="preserve"> a noise-subtraction technique </w:t>
      </w:r>
      <w:r w:rsidR="00634DD8">
        <w:rPr>
          <w:lang w:val="en-US"/>
        </w:rPr>
        <w:t>to be used in</w:t>
      </w:r>
      <w:r w:rsidR="00E10031">
        <w:rPr>
          <w:lang w:val="en-US"/>
        </w:rPr>
        <w:t xml:space="preserve"> a future underground GWID: to achieve this goal</w:t>
      </w:r>
      <w:r w:rsidR="00242F97">
        <w:rPr>
          <w:lang w:val="en-US"/>
        </w:rPr>
        <w:t xml:space="preserve"> first of all</w:t>
      </w:r>
      <w:r w:rsidR="00634DD8">
        <w:rPr>
          <w:lang w:val="en-US"/>
        </w:rPr>
        <w:t xml:space="preserve"> we wi</w:t>
      </w:r>
      <w:r w:rsidR="00E10031">
        <w:rPr>
          <w:lang w:val="en-US"/>
        </w:rPr>
        <w:t xml:space="preserve">ll need a three-dimensional </w:t>
      </w:r>
      <w:r w:rsidR="00242F97">
        <w:rPr>
          <w:lang w:val="en-US"/>
        </w:rPr>
        <w:t>underground seismometers array with a</w:t>
      </w:r>
      <w:r w:rsidR="00A56D98">
        <w:rPr>
          <w:lang w:val="en-US"/>
        </w:rPr>
        <w:t>n extremely</w:t>
      </w:r>
      <w:r w:rsidR="00242F97">
        <w:rPr>
          <w:lang w:val="en-US"/>
        </w:rPr>
        <w:t xml:space="preserve"> good timing</w:t>
      </w:r>
      <w:r w:rsidR="00A56D98">
        <w:rPr>
          <w:lang w:val="en-US"/>
        </w:rPr>
        <w:t xml:space="preserve"> between all stations</w:t>
      </w:r>
      <w:r w:rsidR="00242F97">
        <w:rPr>
          <w:lang w:val="en-US"/>
        </w:rPr>
        <w:t>.</w:t>
      </w:r>
      <w:r w:rsidR="00E10031">
        <w:rPr>
          <w:lang w:val="en-US"/>
        </w:rPr>
        <w:t xml:space="preserve"> </w:t>
      </w:r>
    </w:p>
    <w:p w:rsidR="004B5F3A" w:rsidRDefault="009B5E3F" w:rsidP="00927178">
      <w:pPr>
        <w:jc w:val="both"/>
        <w:rPr>
          <w:lang w:val="en-US"/>
        </w:rPr>
      </w:pPr>
      <w:r>
        <w:rPr>
          <w:lang w:val="en-US"/>
        </w:rPr>
        <w:t>T</w:t>
      </w:r>
      <w:r w:rsidR="00453BC6">
        <w:rPr>
          <w:lang w:val="en-US"/>
        </w:rPr>
        <w:t>he former Homestake gold mine in Lead, South Dakota,</w:t>
      </w:r>
      <w:r>
        <w:rPr>
          <w:lang w:val="en-US"/>
        </w:rPr>
        <w:t xml:space="preserve"> was chosen</w:t>
      </w:r>
      <w:r w:rsidR="00141A7B">
        <w:rPr>
          <w:lang w:val="en-US"/>
        </w:rPr>
        <w:t xml:space="preserve"> as an ideal</w:t>
      </w:r>
      <w:r>
        <w:rPr>
          <w:lang w:val="en-US"/>
        </w:rPr>
        <w:t xml:space="preserve"> low gravitational-background environment to build</w:t>
      </w:r>
      <w:r w:rsidR="004B5F3A">
        <w:rPr>
          <w:lang w:val="en-US"/>
        </w:rPr>
        <w:t xml:space="preserve"> </w:t>
      </w:r>
      <w:r>
        <w:rPr>
          <w:lang w:val="en-US"/>
        </w:rPr>
        <w:t xml:space="preserve">an </w:t>
      </w:r>
      <w:r w:rsidR="004B5F3A">
        <w:rPr>
          <w:lang w:val="en-US"/>
        </w:rPr>
        <w:t>underground seismometers array: it is situated in a low seismic area in the middle of the continent far away from the Atlantic, Pacific and Arctic Ocean, and it has the deepest reaching tunnels in North America (the deepest level is 2.4 km underground</w:t>
      </w:r>
      <w:r>
        <w:rPr>
          <w:lang w:val="en-US"/>
        </w:rPr>
        <w:t>,</w:t>
      </w:r>
      <w:r w:rsidR="00CE737D">
        <w:rPr>
          <w:lang w:val="en-US"/>
        </w:rPr>
        <w:t xml:space="preserve"> for</w:t>
      </w:r>
      <w:r>
        <w:rPr>
          <w:lang w:val="en-US"/>
        </w:rPr>
        <w:t xml:space="preserve"> overall 600 km of tunnels</w:t>
      </w:r>
      <w:r w:rsidR="004B5F3A">
        <w:rPr>
          <w:lang w:val="en-US"/>
        </w:rPr>
        <w:t>).</w:t>
      </w:r>
    </w:p>
    <w:p w:rsidR="004B5F3A" w:rsidRDefault="004B5F3A" w:rsidP="00927178">
      <w:pPr>
        <w:jc w:val="both"/>
        <w:rPr>
          <w:lang w:val="en-US"/>
        </w:rPr>
      </w:pPr>
    </w:p>
    <w:p w:rsidR="00570FE0" w:rsidRDefault="004B5F3A" w:rsidP="00570FE0">
      <w:pPr>
        <w:keepNext/>
        <w:jc w:val="both"/>
      </w:pPr>
      <w:r w:rsidRPr="004B5F3A">
        <w:rPr>
          <w:noProof/>
          <w:lang w:eastAsia="it-IT"/>
        </w:rPr>
        <w:drawing>
          <wp:inline distT="0" distB="0" distL="0" distR="0">
            <wp:extent cx="6120130" cy="3216567"/>
            <wp:effectExtent l="19050" t="0" r="0" b="0"/>
            <wp:docPr id="2" name="Oggett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4805363"/>
                      <a:chOff x="0" y="1524000"/>
                      <a:chExt cx="9144000" cy="4805363"/>
                    </a:xfrm>
                  </a:grpSpPr>
                  <a:pic>
                    <a:nvPicPr>
                      <a:cNvPr id="34821" name="Picture 2" descr="C:\Documents and Settings\pc\Desktop\seminario_homestake\NORDAMERICA.JPG"/>
                      <a:cNvPicPr>
                        <a:picLocks noChangeAspect="1" noChangeArrowheads="1"/>
                      </a:cNvPicPr>
                    </a:nvPicPr>
                    <a:blipFill>
                      <a:blip r:embed="rId8"/>
                      <a:srcRect/>
                      <a:stretch>
                        <a:fillRect/>
                      </a:stretch>
                    </a:blipFill>
                    <a:spPr bwMode="auto">
                      <a:xfrm>
                        <a:off x="0" y="1524000"/>
                        <a:ext cx="9144000" cy="4805363"/>
                      </a:xfrm>
                      <a:prstGeom prst="rect">
                        <a:avLst/>
                      </a:prstGeom>
                      <a:noFill/>
                      <a:ln w="9525">
                        <a:noFill/>
                        <a:miter lim="800000"/>
                        <a:headEnd/>
                        <a:tailEnd/>
                      </a:ln>
                    </a:spPr>
                  </a:pic>
                  <a:sp>
                    <a:nvSpPr>
                      <a:cNvPr id="14" name="Stella a 5 punte 13"/>
                      <a:cNvSpPr/>
                    </a:nvSpPr>
                    <a:spPr bwMode="auto">
                      <a:xfrm>
                        <a:off x="4191000" y="3886200"/>
                        <a:ext cx="152400" cy="152400"/>
                      </a:xfrm>
                      <a:prstGeom prst="star5">
                        <a:avLst/>
                      </a:prstGeom>
                      <a:solidFill>
                        <a:srgbClr val="FFFF00"/>
                      </a:solidFill>
                      <a:ln w="9525" cap="flat" cmpd="sng" algn="ctr">
                        <a:solidFill>
                          <a:schemeClr val="tx1"/>
                        </a:solidFill>
                        <a:prstDash val="solid"/>
                        <a:round/>
                        <a:headEnd type="none" w="med" len="med"/>
                        <a:tailEnd type="none" w="med" len="med"/>
                      </a:ln>
                      <a:effectLst/>
                    </a:spPr>
                    <a:txSp>
                      <a:txBody>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it-IT"/>
                        </a:p>
                      </a:txBody>
                      <a:useSpRect/>
                    </a:txSp>
                  </a:sp>
                  <a:cxnSp>
                    <a:nvCxnSpPr>
                      <a:cNvPr id="34823" name="Connettore 1 15"/>
                      <a:cNvCxnSpPr>
                        <a:cxnSpLocks noChangeShapeType="1"/>
                        <a:stCxn id="14" idx="1"/>
                      </a:cNvCxnSpPr>
                    </a:nvCxnSpPr>
                    <a:spPr bwMode="auto">
                      <a:xfrm rot="10800000" flipV="1">
                        <a:off x="2362200" y="3944938"/>
                        <a:ext cx="1828800" cy="474662"/>
                      </a:xfrm>
                      <a:prstGeom prst="line">
                        <a:avLst/>
                      </a:prstGeom>
                      <a:noFill/>
                      <a:ln w="25400" algn="ctr">
                        <a:solidFill>
                          <a:schemeClr val="tx1"/>
                        </a:solidFill>
                        <a:prstDash val="sysDash"/>
                        <a:round/>
                        <a:headEnd/>
                        <a:tailEnd/>
                      </a:ln>
                    </a:spPr>
                  </a:cxnSp>
                  <a:cxnSp>
                    <a:nvCxnSpPr>
                      <a:cNvPr id="34824" name="Connettore 1 17"/>
                      <a:cNvCxnSpPr>
                        <a:cxnSpLocks noChangeShapeType="1"/>
                        <a:stCxn id="14" idx="4"/>
                      </a:cNvCxnSpPr>
                    </a:nvCxnSpPr>
                    <a:spPr bwMode="auto">
                      <a:xfrm>
                        <a:off x="4343400" y="3944938"/>
                        <a:ext cx="1828800" cy="1084262"/>
                      </a:xfrm>
                      <a:prstGeom prst="line">
                        <a:avLst/>
                      </a:prstGeom>
                      <a:noFill/>
                      <a:ln w="25400" algn="ctr">
                        <a:solidFill>
                          <a:schemeClr val="tx1"/>
                        </a:solidFill>
                        <a:prstDash val="sysDash"/>
                        <a:round/>
                        <a:headEnd/>
                        <a:tailEnd/>
                      </a:ln>
                    </a:spPr>
                  </a:cxnSp>
                  <a:cxnSp>
                    <a:nvCxnSpPr>
                      <a:cNvPr id="34825" name="Connettore 1 23"/>
                      <a:cNvCxnSpPr>
                        <a:cxnSpLocks noChangeShapeType="1"/>
                        <a:stCxn id="14" idx="3"/>
                      </a:cNvCxnSpPr>
                    </a:nvCxnSpPr>
                    <a:spPr bwMode="auto">
                      <a:xfrm rot="16200000" flipH="1">
                        <a:off x="4176713" y="4176712"/>
                        <a:ext cx="1066800" cy="790575"/>
                      </a:xfrm>
                      <a:prstGeom prst="line">
                        <a:avLst/>
                      </a:prstGeom>
                      <a:noFill/>
                      <a:ln w="25400" algn="ctr">
                        <a:solidFill>
                          <a:schemeClr val="tx1"/>
                        </a:solidFill>
                        <a:prstDash val="sysDash"/>
                        <a:round/>
                        <a:headEnd/>
                        <a:tailEnd/>
                      </a:ln>
                    </a:spPr>
                  </a:cxnSp>
                  <a:cxnSp>
                    <a:nvCxnSpPr>
                      <a:cNvPr id="34826" name="Connettore 1 29"/>
                      <a:cNvCxnSpPr>
                        <a:cxnSpLocks noChangeShapeType="1"/>
                        <a:stCxn id="14" idx="0"/>
                      </a:cNvCxnSpPr>
                    </a:nvCxnSpPr>
                    <a:spPr bwMode="auto">
                      <a:xfrm rot="5400000" flipH="1" flipV="1">
                        <a:off x="3086101" y="2705100"/>
                        <a:ext cx="2362200" cy="3175"/>
                      </a:xfrm>
                      <a:prstGeom prst="line">
                        <a:avLst/>
                      </a:prstGeom>
                      <a:noFill/>
                      <a:ln w="25400" algn="ctr">
                        <a:solidFill>
                          <a:schemeClr val="tx1"/>
                        </a:solidFill>
                        <a:prstDash val="sysDash"/>
                        <a:round/>
                        <a:headEnd/>
                        <a:tailEnd/>
                      </a:ln>
                    </a:spPr>
                  </a:cxnSp>
                </lc:lockedCanvas>
              </a:graphicData>
            </a:graphic>
          </wp:inline>
        </w:drawing>
      </w:r>
    </w:p>
    <w:p w:rsidR="004B5F3A" w:rsidRPr="00570FE0" w:rsidRDefault="00570FE0" w:rsidP="00570FE0">
      <w:pPr>
        <w:pStyle w:val="Didascalia"/>
        <w:jc w:val="both"/>
        <w:rPr>
          <w:color w:val="1F497D" w:themeColor="text2"/>
          <w:lang w:val="en-US"/>
        </w:rPr>
      </w:pPr>
      <w:r w:rsidRPr="00570FE0">
        <w:rPr>
          <w:color w:val="1F497D" w:themeColor="text2"/>
          <w:lang w:val="en-US"/>
        </w:rPr>
        <w:t xml:space="preserve">Figure </w:t>
      </w:r>
      <w:r w:rsidR="009B29F4" w:rsidRPr="00570FE0">
        <w:rPr>
          <w:color w:val="1F497D" w:themeColor="text2"/>
        </w:rPr>
        <w:fldChar w:fldCharType="begin"/>
      </w:r>
      <w:r w:rsidRPr="00570FE0">
        <w:rPr>
          <w:color w:val="1F497D" w:themeColor="text2"/>
          <w:lang w:val="en-US"/>
        </w:rPr>
        <w:instrText xml:space="preserve"> SEQ Figure \* ARABIC </w:instrText>
      </w:r>
      <w:r w:rsidR="009B29F4" w:rsidRPr="00570FE0">
        <w:rPr>
          <w:color w:val="1F497D" w:themeColor="text2"/>
        </w:rPr>
        <w:fldChar w:fldCharType="separate"/>
      </w:r>
      <w:r w:rsidR="00156B1D">
        <w:rPr>
          <w:noProof/>
          <w:color w:val="1F497D" w:themeColor="text2"/>
          <w:lang w:val="en-US"/>
        </w:rPr>
        <w:t>2</w:t>
      </w:r>
      <w:r w:rsidR="009B29F4" w:rsidRPr="00570FE0">
        <w:rPr>
          <w:color w:val="1F497D" w:themeColor="text2"/>
        </w:rPr>
        <w:fldChar w:fldCharType="end"/>
      </w:r>
      <w:r w:rsidRPr="00570FE0">
        <w:rPr>
          <w:color w:val="1F497D" w:themeColor="text2"/>
          <w:lang w:val="en-US"/>
        </w:rPr>
        <w:t>: the Homestake site in the North American continent is shown by a star</w:t>
      </w:r>
    </w:p>
    <w:p w:rsidR="006B3929" w:rsidRDefault="00570FE0" w:rsidP="00927178">
      <w:pPr>
        <w:jc w:val="both"/>
        <w:rPr>
          <w:lang w:val="en-US"/>
        </w:rPr>
      </w:pPr>
      <w:r>
        <w:rPr>
          <w:lang w:val="en-US"/>
        </w:rPr>
        <w:t>In 2002 the gold mine was closed and donated to the State of South Dakota</w:t>
      </w:r>
      <w:r w:rsidR="00FF48EF">
        <w:rPr>
          <w:lang w:val="en-US"/>
        </w:rPr>
        <w:t>,</w:t>
      </w:r>
      <w:r>
        <w:rPr>
          <w:lang w:val="en-US"/>
        </w:rPr>
        <w:t xml:space="preserve"> and it is being transformed into an underground laboratory controlled by the SDSTA (South Dakota Science and Technology Authority) supported by </w:t>
      </w:r>
      <w:r w:rsidR="00FF48EF">
        <w:rPr>
          <w:lang w:val="en-US"/>
        </w:rPr>
        <w:t>a private gift from Mr. Sanford. A</w:t>
      </w:r>
      <w:r>
        <w:rPr>
          <w:lang w:val="en-US"/>
        </w:rPr>
        <w:t xml:space="preserve">fter him </w:t>
      </w:r>
      <w:r w:rsidR="00FF48EF">
        <w:rPr>
          <w:lang w:val="en-US"/>
        </w:rPr>
        <w:t xml:space="preserve">it was </w:t>
      </w:r>
      <w:r>
        <w:rPr>
          <w:lang w:val="en-US"/>
        </w:rPr>
        <w:t>named Sanford Underground Laboratory. Homestake former mine</w:t>
      </w:r>
      <w:r w:rsidR="009B5E3F">
        <w:rPr>
          <w:lang w:val="en-US"/>
        </w:rPr>
        <w:t xml:space="preserve"> was also chosen to host the</w:t>
      </w:r>
      <w:r>
        <w:rPr>
          <w:lang w:val="en-US"/>
        </w:rPr>
        <w:t xml:space="preserve"> DUSEL</w:t>
      </w:r>
      <w:r w:rsidR="009B5E3F">
        <w:rPr>
          <w:lang w:val="en-US"/>
        </w:rPr>
        <w:t xml:space="preserve"> facility (Deep Underground Science and Engineering Laboratory) involving astroparticle, biology and geology experiments. </w:t>
      </w:r>
    </w:p>
    <w:p w:rsidR="006B3929" w:rsidRDefault="006B3929" w:rsidP="00927178">
      <w:pPr>
        <w:jc w:val="both"/>
        <w:rPr>
          <w:lang w:val="en-US"/>
        </w:rPr>
      </w:pPr>
      <w:r>
        <w:rPr>
          <w:lang w:val="en-US"/>
        </w:rPr>
        <w:t>During the summer of 2008 three seismometers stations were built at three different levels</w:t>
      </w:r>
      <w:r w:rsidR="00E76058">
        <w:rPr>
          <w:lang w:val="en-US"/>
        </w:rPr>
        <w:t xml:space="preserve"> (90m, 240m, 610m)</w:t>
      </w:r>
      <w:r w:rsidR="001240AE">
        <w:rPr>
          <w:lang w:val="en-US"/>
        </w:rPr>
        <w:t xml:space="preserve"> for a first seismic survey</w:t>
      </w:r>
      <w:sdt>
        <w:sdtPr>
          <w:rPr>
            <w:lang w:val="en-US"/>
          </w:rPr>
          <w:id w:val="5660432"/>
          <w:citation/>
        </w:sdtPr>
        <w:sdtEndPr>
          <w:rPr>
            <w:vertAlign w:val="superscript"/>
          </w:rPr>
        </w:sdtEndPr>
        <w:sdtContent>
          <w:r w:rsidR="009B29F4" w:rsidRPr="00EA11C8">
            <w:rPr>
              <w:vertAlign w:val="superscript"/>
              <w:lang w:val="en-US"/>
            </w:rPr>
            <w:fldChar w:fldCharType="begin"/>
          </w:r>
          <w:r w:rsidR="00EA11C8" w:rsidRPr="00EA11C8">
            <w:rPr>
              <w:vertAlign w:val="superscript"/>
              <w:lang w:val="en-US"/>
            </w:rPr>
            <w:instrText xml:space="preserve"> CITATION JHa09 \l 1040 </w:instrText>
          </w:r>
          <w:r w:rsidR="009B29F4" w:rsidRPr="00EA11C8">
            <w:rPr>
              <w:vertAlign w:val="superscript"/>
              <w:lang w:val="en-US"/>
            </w:rPr>
            <w:fldChar w:fldCharType="separate"/>
          </w:r>
          <w:r w:rsidR="00EB71AC">
            <w:rPr>
              <w:noProof/>
              <w:vertAlign w:val="superscript"/>
              <w:lang w:val="en-US"/>
            </w:rPr>
            <w:t xml:space="preserve"> </w:t>
          </w:r>
          <w:r w:rsidR="00EB71AC" w:rsidRPr="00EB71AC">
            <w:rPr>
              <w:noProof/>
              <w:vertAlign w:val="superscript"/>
              <w:lang w:val="en-US"/>
            </w:rPr>
            <w:t>(2)</w:t>
          </w:r>
          <w:r w:rsidR="009B29F4" w:rsidRPr="00EA11C8">
            <w:rPr>
              <w:vertAlign w:val="superscript"/>
              <w:lang w:val="en-US"/>
            </w:rPr>
            <w:fldChar w:fldCharType="end"/>
          </w:r>
        </w:sdtContent>
      </w:sdt>
      <w:r w:rsidR="001240AE">
        <w:rPr>
          <w:lang w:val="en-US"/>
        </w:rPr>
        <w:t>.</w:t>
      </w:r>
      <w:r w:rsidR="00420ACF">
        <w:rPr>
          <w:lang w:val="en-US"/>
        </w:rPr>
        <w:t xml:space="preserve"> </w:t>
      </w:r>
      <w:r w:rsidR="001240AE">
        <w:rPr>
          <w:lang w:val="en-US"/>
        </w:rPr>
        <w:t>Between June 9</w:t>
      </w:r>
      <w:r w:rsidR="001240AE" w:rsidRPr="001240AE">
        <w:rPr>
          <w:vertAlign w:val="superscript"/>
          <w:lang w:val="en-US"/>
        </w:rPr>
        <w:t>th</w:t>
      </w:r>
      <w:r w:rsidR="001240AE">
        <w:rPr>
          <w:lang w:val="en-US"/>
        </w:rPr>
        <w:t xml:space="preserve"> and July 31</w:t>
      </w:r>
      <w:r w:rsidR="001240AE" w:rsidRPr="001240AE">
        <w:rPr>
          <w:vertAlign w:val="superscript"/>
          <w:lang w:val="en-US"/>
        </w:rPr>
        <w:t>st</w:t>
      </w:r>
      <w:r w:rsidR="001240AE">
        <w:rPr>
          <w:lang w:val="en-US"/>
        </w:rPr>
        <w:t xml:space="preserve"> we fixed the configuration of this </w:t>
      </w:r>
      <w:r w:rsidR="00176548">
        <w:rPr>
          <w:lang w:val="en-US"/>
        </w:rPr>
        <w:t>three old stations, and we built</w:t>
      </w:r>
      <w:r w:rsidR="001240AE">
        <w:rPr>
          <w:lang w:val="en-US"/>
        </w:rPr>
        <w:t xml:space="preserve"> five new stations: two at 610m and three at 1250m. The seis</w:t>
      </w:r>
      <w:r w:rsidR="00176548">
        <w:rPr>
          <w:lang w:val="en-US"/>
        </w:rPr>
        <w:t>mometers network now consists of</w:t>
      </w:r>
      <w:r w:rsidR="001240AE">
        <w:rPr>
          <w:lang w:val="en-US"/>
        </w:rPr>
        <w:t xml:space="preserve"> one G</w:t>
      </w:r>
      <w:r w:rsidR="001240AE" w:rsidRPr="001240AE">
        <w:rPr>
          <w:lang w:val="en-US"/>
        </w:rPr>
        <w:t>ü</w:t>
      </w:r>
      <w:r w:rsidR="001240AE">
        <w:rPr>
          <w:lang w:val="en-US"/>
        </w:rPr>
        <w:t>ralp CMG-40T (at 90m), five Trillium 240 (one at 240m, three at 610m and one at 1250m) and two STS-2 (both at 1250m).</w:t>
      </w:r>
    </w:p>
    <w:p w:rsidR="002B1F4D" w:rsidRDefault="00DC230A" w:rsidP="00927178">
      <w:pPr>
        <w:jc w:val="both"/>
        <w:rPr>
          <w:lang w:val="en-US"/>
        </w:rPr>
      </w:pPr>
      <w:r>
        <w:rPr>
          <w:lang w:val="en-US"/>
        </w:rPr>
        <w:t xml:space="preserve">In the next section the Homestake geology </w:t>
      </w:r>
      <w:r w:rsidR="007E3B31">
        <w:rPr>
          <w:lang w:val="en-US"/>
        </w:rPr>
        <w:t>is outlined</w:t>
      </w:r>
      <w:r>
        <w:rPr>
          <w:lang w:val="en-US"/>
        </w:rPr>
        <w:t>; in section</w:t>
      </w:r>
      <w:r w:rsidR="007E3B31">
        <w:rPr>
          <w:lang w:val="en-US"/>
        </w:rPr>
        <w:t>s</w:t>
      </w:r>
      <w:r w:rsidR="004245B5">
        <w:rPr>
          <w:lang w:val="en-US"/>
        </w:rPr>
        <w:t xml:space="preserve"> III and IV</w:t>
      </w:r>
      <w:r>
        <w:rPr>
          <w:lang w:val="en-US"/>
        </w:rPr>
        <w:t xml:space="preserve"> a description of the Sanford Laboratory infrastructure, safety rules and working condition are </w:t>
      </w:r>
      <w:r w:rsidR="007E3B31">
        <w:rPr>
          <w:lang w:val="en-US"/>
        </w:rPr>
        <w:t>presented</w:t>
      </w:r>
      <w:r>
        <w:rPr>
          <w:lang w:val="en-US"/>
        </w:rPr>
        <w:t xml:space="preserve">. </w:t>
      </w:r>
      <w:r w:rsidR="001A54D2">
        <w:rPr>
          <w:lang w:val="en-US"/>
        </w:rPr>
        <w:t>S</w:t>
      </w:r>
      <w:r w:rsidR="004245B5">
        <w:rPr>
          <w:lang w:val="en-US"/>
        </w:rPr>
        <w:t>ection</w:t>
      </w:r>
      <w:r w:rsidR="001A54D2">
        <w:rPr>
          <w:lang w:val="en-US"/>
        </w:rPr>
        <w:t>s</w:t>
      </w:r>
      <w:r w:rsidR="004245B5">
        <w:rPr>
          <w:lang w:val="en-US"/>
        </w:rPr>
        <w:t xml:space="preserve"> V and VI</w:t>
      </w:r>
      <w:r w:rsidR="001A54D2">
        <w:rPr>
          <w:lang w:val="en-US"/>
        </w:rPr>
        <w:t xml:space="preserve"> deal with</w:t>
      </w:r>
      <w:r>
        <w:rPr>
          <w:lang w:val="en-US"/>
        </w:rPr>
        <w:t xml:space="preserve"> the construction of the new five stations </w:t>
      </w:r>
      <w:r w:rsidR="007E3B31">
        <w:rPr>
          <w:lang w:val="en-US"/>
        </w:rPr>
        <w:t xml:space="preserve">joining the seismometers array, the instruments used as well as data acquisition. </w:t>
      </w:r>
      <w:r w:rsidR="004245B5">
        <w:rPr>
          <w:lang w:val="en-US"/>
        </w:rPr>
        <w:t>Finally, in section VII</w:t>
      </w:r>
      <w:r w:rsidR="007E3B31">
        <w:rPr>
          <w:lang w:val="en-US"/>
        </w:rPr>
        <w:t xml:space="preserve"> preliminary results</w:t>
      </w:r>
      <w:r w:rsidR="002B1F4D">
        <w:rPr>
          <w:lang w:val="en-US"/>
        </w:rPr>
        <w:t xml:space="preserve"> </w:t>
      </w:r>
      <w:r w:rsidR="007E3B31">
        <w:rPr>
          <w:lang w:val="en-US"/>
        </w:rPr>
        <w:t>are shown</w:t>
      </w:r>
      <w:r w:rsidR="002B1F4D">
        <w:rPr>
          <w:lang w:val="en-US"/>
        </w:rPr>
        <w:t xml:space="preserve"> with a comparison between the seismic data acquired in August from the LIGO Hanford </w:t>
      </w:r>
      <w:r w:rsidR="00C33F0B">
        <w:rPr>
          <w:lang w:val="en-US"/>
        </w:rPr>
        <w:t>Observatory</w:t>
      </w:r>
      <w:r w:rsidR="007E3B31">
        <w:rPr>
          <w:lang w:val="en-US"/>
        </w:rPr>
        <w:t>.</w:t>
      </w:r>
    </w:p>
    <w:p w:rsidR="00B470FF" w:rsidRPr="00AA462C" w:rsidRDefault="004245B5" w:rsidP="00927178">
      <w:pPr>
        <w:jc w:val="both"/>
        <w:rPr>
          <w:sz w:val="28"/>
          <w:szCs w:val="28"/>
          <w:lang w:val="en-US"/>
        </w:rPr>
      </w:pPr>
      <w:r w:rsidRPr="00AA462C">
        <w:rPr>
          <w:b/>
          <w:sz w:val="28"/>
          <w:szCs w:val="28"/>
          <w:lang w:val="en-US"/>
        </w:rPr>
        <w:lastRenderedPageBreak/>
        <w:t>II.</w:t>
      </w:r>
      <w:r w:rsidR="00B470FF" w:rsidRPr="00AA462C">
        <w:rPr>
          <w:b/>
          <w:sz w:val="28"/>
          <w:szCs w:val="28"/>
          <w:lang w:val="en-US"/>
        </w:rPr>
        <w:t xml:space="preserve"> Homes</w:t>
      </w:r>
      <w:r w:rsidR="00C92E09" w:rsidRPr="00AA462C">
        <w:rPr>
          <w:b/>
          <w:sz w:val="28"/>
          <w:szCs w:val="28"/>
          <w:lang w:val="en-US"/>
        </w:rPr>
        <w:t>take geology</w:t>
      </w:r>
    </w:p>
    <w:p w:rsidR="00CE737D" w:rsidRDefault="00C92E09" w:rsidP="00927178">
      <w:pPr>
        <w:jc w:val="both"/>
        <w:rPr>
          <w:lang w:val="en-US"/>
        </w:rPr>
      </w:pPr>
      <w:r>
        <w:rPr>
          <w:lang w:val="en-US"/>
        </w:rPr>
        <w:t xml:space="preserve">The former Homestake mine is located in the so-called </w:t>
      </w:r>
      <w:r w:rsidRPr="00C92E09">
        <w:rPr>
          <w:i/>
          <w:lang w:val="en-US"/>
        </w:rPr>
        <w:t>Lead Window</w:t>
      </w:r>
      <w:r>
        <w:rPr>
          <w:lang w:val="en-US"/>
        </w:rPr>
        <w:t xml:space="preserve">, in the </w:t>
      </w:r>
      <w:r w:rsidR="00017ED4">
        <w:rPr>
          <w:lang w:val="en-US"/>
        </w:rPr>
        <w:t>northern</w:t>
      </w:r>
      <w:r>
        <w:rPr>
          <w:lang w:val="en-US"/>
        </w:rPr>
        <w:t xml:space="preserve"> Black Hills; the oldest rocks are dated back to the Precambrian, </w:t>
      </w:r>
      <w:r w:rsidRPr="00C92E09">
        <w:rPr>
          <w:lang w:val="en-US"/>
        </w:rPr>
        <w:t>approximately two billion years old</w:t>
      </w:r>
      <w:r>
        <w:rPr>
          <w:lang w:val="en-US"/>
        </w:rPr>
        <w:t>. The gold mine develops in a block of the Early Proterozoic Earth’s crust</w:t>
      </w:r>
      <w:r w:rsidR="00E761D7">
        <w:rPr>
          <w:lang w:val="en-US"/>
        </w:rPr>
        <w:t>, that is approximately 2.7 x 3 x 5 km, the Lead-Deadwood Dome.</w:t>
      </w:r>
    </w:p>
    <w:p w:rsidR="00E761D7" w:rsidRDefault="00E761D7" w:rsidP="00E761D7">
      <w:pPr>
        <w:keepNext/>
        <w:jc w:val="both"/>
      </w:pPr>
      <w:r>
        <w:rPr>
          <w:noProof/>
          <w:lang w:eastAsia="it-IT"/>
        </w:rPr>
        <w:drawing>
          <wp:inline distT="0" distB="0" distL="0" distR="0">
            <wp:extent cx="6096000" cy="6758940"/>
            <wp:effectExtent l="19050" t="0" r="0" b="0"/>
            <wp:docPr id="3" name="Immagine 1" descr="C:\Documents and Settings\pc\Desktop\seminario_e_paper_homestake\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c\Desktop\seminario_e_paper_homestake\location.jpg"/>
                    <pic:cNvPicPr>
                      <a:picLocks noChangeAspect="1" noChangeArrowheads="1"/>
                    </pic:cNvPicPr>
                  </pic:nvPicPr>
                  <pic:blipFill>
                    <a:blip r:embed="rId9"/>
                    <a:srcRect/>
                    <a:stretch>
                      <a:fillRect/>
                    </a:stretch>
                  </pic:blipFill>
                  <pic:spPr bwMode="auto">
                    <a:xfrm>
                      <a:off x="0" y="0"/>
                      <a:ext cx="6096000" cy="6758940"/>
                    </a:xfrm>
                    <a:prstGeom prst="rect">
                      <a:avLst/>
                    </a:prstGeom>
                    <a:noFill/>
                    <a:ln w="9525">
                      <a:noFill/>
                      <a:miter lim="800000"/>
                      <a:headEnd/>
                      <a:tailEnd/>
                    </a:ln>
                  </pic:spPr>
                </pic:pic>
              </a:graphicData>
            </a:graphic>
          </wp:inline>
        </w:drawing>
      </w:r>
    </w:p>
    <w:p w:rsidR="00E761D7" w:rsidRPr="00E761D7" w:rsidRDefault="00E761D7" w:rsidP="00C118EE">
      <w:pPr>
        <w:pStyle w:val="Didascalia"/>
        <w:jc w:val="center"/>
        <w:rPr>
          <w:lang w:val="en-US"/>
        </w:rPr>
      </w:pPr>
      <w:r w:rsidRPr="00E32599">
        <w:rPr>
          <w:color w:val="1F497D" w:themeColor="text2"/>
          <w:lang w:val="en-US"/>
        </w:rPr>
        <w:t xml:space="preserve">Figure </w:t>
      </w:r>
      <w:r w:rsidR="009B29F4" w:rsidRPr="00E32599">
        <w:rPr>
          <w:color w:val="1F497D" w:themeColor="text2"/>
          <w:lang w:val="en-US"/>
        </w:rPr>
        <w:fldChar w:fldCharType="begin"/>
      </w:r>
      <w:r w:rsidRPr="00E32599">
        <w:rPr>
          <w:color w:val="1F497D" w:themeColor="text2"/>
          <w:lang w:val="en-US"/>
        </w:rPr>
        <w:instrText xml:space="preserve"> SEQ Figure \* ARABIC </w:instrText>
      </w:r>
      <w:r w:rsidR="009B29F4" w:rsidRPr="00E32599">
        <w:rPr>
          <w:color w:val="1F497D" w:themeColor="text2"/>
          <w:lang w:val="en-US"/>
        </w:rPr>
        <w:fldChar w:fldCharType="separate"/>
      </w:r>
      <w:r w:rsidR="00156B1D">
        <w:rPr>
          <w:noProof/>
          <w:color w:val="1F497D" w:themeColor="text2"/>
          <w:lang w:val="en-US"/>
        </w:rPr>
        <w:t>3</w:t>
      </w:r>
      <w:r w:rsidR="009B29F4" w:rsidRPr="00E32599">
        <w:rPr>
          <w:color w:val="1F497D" w:themeColor="text2"/>
          <w:lang w:val="en-US"/>
        </w:rPr>
        <w:fldChar w:fldCharType="end"/>
      </w:r>
      <w:r w:rsidRPr="00E32599">
        <w:rPr>
          <w:color w:val="1F497D" w:themeColor="text2"/>
          <w:lang w:val="en-US"/>
        </w:rPr>
        <w:t>: location of the Lead-Deadwood Dome hosting the former Homestake mine</w:t>
      </w:r>
      <w:sdt>
        <w:sdtPr>
          <w:rPr>
            <w:color w:val="1F497D" w:themeColor="text2"/>
            <w:lang w:val="en-US"/>
          </w:rPr>
          <w:id w:val="5660448"/>
          <w:citation/>
        </w:sdtPr>
        <w:sdtEndPr>
          <w:rPr>
            <w:color w:val="4F81BD" w:themeColor="accent1"/>
            <w:vertAlign w:val="superscript"/>
          </w:rPr>
        </w:sdtEndPr>
        <w:sdtContent>
          <w:r w:rsidR="009B29F4">
            <w:rPr>
              <w:color w:val="1F497D" w:themeColor="text2"/>
              <w:vertAlign w:val="superscript"/>
              <w:lang w:val="en-US"/>
            </w:rPr>
            <w:fldChar w:fldCharType="begin"/>
          </w:r>
          <w:r w:rsidR="007C4548" w:rsidRPr="007C4548">
            <w:rPr>
              <w:color w:val="1F497D" w:themeColor="text2"/>
              <w:vertAlign w:val="superscript"/>
              <w:lang w:val="en-US"/>
            </w:rPr>
            <w:instrText xml:space="preserve"> CITATION Cam \l 1040  </w:instrText>
          </w:r>
          <w:r w:rsidR="009B29F4">
            <w:rPr>
              <w:color w:val="1F497D" w:themeColor="text2"/>
              <w:vertAlign w:val="superscript"/>
              <w:lang w:val="en-US"/>
            </w:rPr>
            <w:fldChar w:fldCharType="separate"/>
          </w:r>
          <w:r w:rsidR="00EB71AC">
            <w:rPr>
              <w:noProof/>
              <w:color w:val="1F497D" w:themeColor="text2"/>
              <w:vertAlign w:val="superscript"/>
              <w:lang w:val="en-US"/>
            </w:rPr>
            <w:t xml:space="preserve"> </w:t>
          </w:r>
          <w:r w:rsidR="00EB71AC" w:rsidRPr="00EB71AC">
            <w:rPr>
              <w:noProof/>
              <w:color w:val="1F497D" w:themeColor="text2"/>
              <w:vertAlign w:val="superscript"/>
              <w:lang w:val="en-US"/>
            </w:rPr>
            <w:t>(3)</w:t>
          </w:r>
          <w:r w:rsidR="009B29F4">
            <w:rPr>
              <w:color w:val="1F497D" w:themeColor="text2"/>
              <w:vertAlign w:val="superscript"/>
              <w:lang w:val="en-US"/>
            </w:rPr>
            <w:fldChar w:fldCharType="end"/>
          </w:r>
        </w:sdtContent>
      </w:sdt>
    </w:p>
    <w:p w:rsidR="005C7389" w:rsidRPr="0057359E" w:rsidRDefault="00432569" w:rsidP="00A53098">
      <w:pPr>
        <w:jc w:val="both"/>
        <w:rPr>
          <w:lang w:val="en-US"/>
        </w:rPr>
      </w:pPr>
      <w:r>
        <w:rPr>
          <w:lang w:val="en-US"/>
        </w:rPr>
        <w:t>T</w:t>
      </w:r>
      <w:r w:rsidRPr="00432569">
        <w:rPr>
          <w:lang w:val="en-US"/>
        </w:rPr>
        <w:t>he current rock formations are the result of stratification, folding and metamorphism</w:t>
      </w:r>
      <w:r>
        <w:rPr>
          <w:lang w:val="en-US"/>
        </w:rPr>
        <w:t xml:space="preserve"> events</w:t>
      </w:r>
      <w:r w:rsidRPr="00432569">
        <w:rPr>
          <w:lang w:val="en-US"/>
        </w:rPr>
        <w:t>, with two principal uplifts</w:t>
      </w:r>
      <w:r>
        <w:rPr>
          <w:lang w:val="en-US"/>
        </w:rPr>
        <w:t xml:space="preserve">: a first event occurred about 2 billion years ago during the Trans-Hudson orogeny, </w:t>
      </w:r>
      <w:r w:rsidR="00A53098">
        <w:rPr>
          <w:lang w:val="en-US"/>
        </w:rPr>
        <w:t xml:space="preserve">exposing a sequence of Archean and early Proterozoic strata, </w:t>
      </w:r>
      <w:r w:rsidR="00A53098" w:rsidRPr="00A53098">
        <w:rPr>
          <w:lang w:val="en-US"/>
        </w:rPr>
        <w:t>a</w:t>
      </w:r>
      <w:r w:rsidR="00A53098">
        <w:rPr>
          <w:lang w:val="en-US"/>
        </w:rPr>
        <w:t>ccompanied by</w:t>
      </w:r>
      <w:r w:rsidR="00A53098" w:rsidRPr="00A53098">
        <w:rPr>
          <w:lang w:val="en-US"/>
        </w:rPr>
        <w:t xml:space="preserve"> regional metamorphosis of th</w:t>
      </w:r>
      <w:r w:rsidR="00A53098">
        <w:rPr>
          <w:lang w:val="en-US"/>
        </w:rPr>
        <w:t xml:space="preserve">e early Proterozoic sedimentary </w:t>
      </w:r>
      <w:r w:rsidR="00A53098" w:rsidRPr="00A53098">
        <w:rPr>
          <w:lang w:val="en-US"/>
        </w:rPr>
        <w:t>and volcanic rocks into lower-greenschist to middle-amphibolite facies.</w:t>
      </w:r>
      <w:r w:rsidR="00A53098">
        <w:rPr>
          <w:lang w:val="en-US"/>
        </w:rPr>
        <w:t xml:space="preserve"> </w:t>
      </w:r>
      <w:r w:rsidR="008C0A5D">
        <w:rPr>
          <w:lang w:val="en-US"/>
        </w:rPr>
        <w:t xml:space="preserve">The </w:t>
      </w:r>
      <w:r w:rsidR="008C0A5D">
        <w:rPr>
          <w:lang w:val="en-US"/>
        </w:rPr>
        <w:lastRenderedPageBreak/>
        <w:t xml:space="preserve">Paleozoic and Mesozoic era were </w:t>
      </w:r>
      <w:r w:rsidR="008C0A5D" w:rsidRPr="008C0A5D">
        <w:rPr>
          <w:lang w:val="en-US"/>
        </w:rPr>
        <w:t>characterized by relative tectonic quiescence</w:t>
      </w:r>
      <w:r w:rsidR="008C0A5D">
        <w:rPr>
          <w:lang w:val="en-US"/>
        </w:rPr>
        <w:t xml:space="preserve"> with sedimentary deposits. </w:t>
      </w:r>
      <w:r w:rsidR="00143B94">
        <w:rPr>
          <w:lang w:val="en-US"/>
        </w:rPr>
        <w:t>The second uplift occurred</w:t>
      </w:r>
      <w:r w:rsidR="00B21402">
        <w:rPr>
          <w:lang w:val="en-US"/>
        </w:rPr>
        <w:t xml:space="preserve"> in </w:t>
      </w:r>
      <w:r w:rsidR="00B21402" w:rsidRPr="00B21402">
        <w:rPr>
          <w:lang w:val="en-US"/>
        </w:rPr>
        <w:t>the Tertiary period</w:t>
      </w:r>
      <w:r w:rsidR="00B21402">
        <w:rPr>
          <w:lang w:val="en-US"/>
        </w:rPr>
        <w:t xml:space="preserve"> about</w:t>
      </w:r>
      <w:r w:rsidR="00143B94">
        <w:rPr>
          <w:lang w:val="en-US"/>
        </w:rPr>
        <w:t xml:space="preserve"> 60 million years ago during the Laramide orogeny, followed</w:t>
      </w:r>
      <w:r w:rsidR="00B21402">
        <w:rPr>
          <w:lang w:val="en-US"/>
        </w:rPr>
        <w:t xml:space="preserve"> </w:t>
      </w:r>
      <w:r w:rsidR="00143B94">
        <w:rPr>
          <w:lang w:val="en-US"/>
        </w:rPr>
        <w:t>by alkalic igneous intrusion of laccoliths, dikes and sills into the pre-existing rock strata.</w:t>
      </w:r>
      <w:r w:rsidR="005C7389">
        <w:rPr>
          <w:lang w:val="en-US"/>
        </w:rPr>
        <w:t xml:space="preserve"> During this phase of deformation</w:t>
      </w:r>
      <w:r w:rsidR="00B5029A">
        <w:rPr>
          <w:lang w:val="en-US"/>
        </w:rPr>
        <w:t xml:space="preserve"> a</w:t>
      </w:r>
      <w:r w:rsidR="005C7389">
        <w:rPr>
          <w:lang w:val="en-US"/>
        </w:rPr>
        <w:t xml:space="preserve"> network of fractures was formed, </w:t>
      </w:r>
      <w:r w:rsidR="0057359E">
        <w:rPr>
          <w:lang w:val="en-US"/>
        </w:rPr>
        <w:t>facilitating meteoric water intrusion</w:t>
      </w:r>
      <w:r w:rsidR="0057359E" w:rsidRPr="0057359E">
        <w:rPr>
          <w:lang w:val="en-US"/>
        </w:rPr>
        <w:t>.</w:t>
      </w:r>
      <w:r w:rsidR="0057359E">
        <w:rPr>
          <w:lang w:val="en-US"/>
        </w:rPr>
        <w:t xml:space="preserve"> The tunnels excavated during the mining activity intersected the </w:t>
      </w:r>
      <w:r w:rsidR="0057359E" w:rsidRPr="00B5029A">
        <w:rPr>
          <w:i/>
          <w:lang w:val="en-US"/>
        </w:rPr>
        <w:t>watercourses</w:t>
      </w:r>
      <w:r w:rsidR="00B5029A">
        <w:rPr>
          <w:lang w:val="en-US"/>
        </w:rPr>
        <w:t xml:space="preserve"> (usually 45°C to 85°</w:t>
      </w:r>
      <w:r w:rsidR="00B5029A" w:rsidRPr="00B5029A">
        <w:rPr>
          <w:lang w:val="en-US"/>
        </w:rPr>
        <w:t>C</w:t>
      </w:r>
      <w:r w:rsidR="00B5029A">
        <w:rPr>
          <w:lang w:val="en-US"/>
        </w:rPr>
        <w:t>,</w:t>
      </w:r>
      <w:r w:rsidR="00B5029A" w:rsidRPr="00B5029A">
        <w:rPr>
          <w:lang w:val="en-US"/>
        </w:rPr>
        <w:t xml:space="preserve"> low to high pressure</w:t>
      </w:r>
      <w:r w:rsidR="00B5029A">
        <w:rPr>
          <w:lang w:val="en-US"/>
        </w:rPr>
        <w:t>)</w:t>
      </w:r>
      <w:r w:rsidR="0057359E">
        <w:rPr>
          <w:lang w:val="en-US"/>
        </w:rPr>
        <w:t xml:space="preserve">, and also the </w:t>
      </w:r>
      <w:r w:rsidR="0057359E" w:rsidRPr="0057359E">
        <w:rPr>
          <w:i/>
          <w:lang w:val="en-US"/>
        </w:rPr>
        <w:t>open cut</w:t>
      </w:r>
      <w:r w:rsidR="0057359E">
        <w:rPr>
          <w:lang w:val="en-US"/>
        </w:rPr>
        <w:t xml:space="preserve"> </w:t>
      </w:r>
      <w:r w:rsidR="0062579D">
        <w:rPr>
          <w:lang w:val="en-US"/>
        </w:rPr>
        <w:t>(</w:t>
      </w:r>
      <w:r w:rsidR="008962AE" w:rsidRPr="0062579D">
        <w:rPr>
          <w:i/>
          <w:lang w:val="en-US"/>
        </w:rPr>
        <w:t>figure 6</w:t>
      </w:r>
      <w:r w:rsidR="008962AE">
        <w:rPr>
          <w:lang w:val="en-US"/>
        </w:rPr>
        <w:t xml:space="preserve">) </w:t>
      </w:r>
      <w:r w:rsidR="0057359E">
        <w:rPr>
          <w:lang w:val="en-US"/>
        </w:rPr>
        <w:t>acts like a funnel, hence the underground levels</w:t>
      </w:r>
      <w:r w:rsidR="00017ED4">
        <w:rPr>
          <w:lang w:val="en-US"/>
        </w:rPr>
        <w:t xml:space="preserve"> of the Homestake mine</w:t>
      </w:r>
      <w:r w:rsidR="0057359E">
        <w:rPr>
          <w:lang w:val="en-US"/>
        </w:rPr>
        <w:t xml:space="preserve"> are accessible only with a constant water drain. </w:t>
      </w:r>
    </w:p>
    <w:p w:rsidR="005C7389" w:rsidRPr="0057359E" w:rsidRDefault="005C7389" w:rsidP="002B1F4D">
      <w:pPr>
        <w:keepNext/>
        <w:jc w:val="center"/>
        <w:rPr>
          <w:lang w:val="en-US"/>
        </w:rPr>
      </w:pPr>
      <w:r>
        <w:rPr>
          <w:noProof/>
          <w:lang w:eastAsia="it-IT"/>
        </w:rPr>
        <w:drawing>
          <wp:inline distT="0" distB="0" distL="0" distR="0">
            <wp:extent cx="5162059" cy="6187440"/>
            <wp:effectExtent l="19050" t="0" r="491" b="0"/>
            <wp:docPr id="4" name="Immagine 2" descr="C:\Documents and Settings\pc\Desktop\seminario_e_paper_homestake\LeadWindow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c\Desktop\seminario_e_paper_homestake\LeadWindowmap.jpg"/>
                    <pic:cNvPicPr>
                      <a:picLocks noChangeAspect="1" noChangeArrowheads="1"/>
                    </pic:cNvPicPr>
                  </pic:nvPicPr>
                  <pic:blipFill>
                    <a:blip r:embed="rId10"/>
                    <a:srcRect/>
                    <a:stretch>
                      <a:fillRect/>
                    </a:stretch>
                  </pic:blipFill>
                  <pic:spPr bwMode="auto">
                    <a:xfrm>
                      <a:off x="0" y="0"/>
                      <a:ext cx="5162660" cy="6188160"/>
                    </a:xfrm>
                    <a:prstGeom prst="rect">
                      <a:avLst/>
                    </a:prstGeom>
                    <a:noFill/>
                    <a:ln w="9525">
                      <a:noFill/>
                      <a:miter lim="800000"/>
                      <a:headEnd/>
                      <a:tailEnd/>
                    </a:ln>
                  </pic:spPr>
                </pic:pic>
              </a:graphicData>
            </a:graphic>
          </wp:inline>
        </w:drawing>
      </w:r>
    </w:p>
    <w:p w:rsidR="005C7389" w:rsidRPr="005C7389" w:rsidRDefault="005C7389" w:rsidP="00C118EE">
      <w:pPr>
        <w:pStyle w:val="Didascalia"/>
        <w:jc w:val="center"/>
        <w:rPr>
          <w:lang w:val="en-US"/>
        </w:rPr>
      </w:pPr>
      <w:r w:rsidRPr="00E32599">
        <w:rPr>
          <w:color w:val="1F497D" w:themeColor="text2"/>
          <w:lang w:val="en-US"/>
        </w:rPr>
        <w:t xml:space="preserve">Figure </w:t>
      </w:r>
      <w:r w:rsidR="009B29F4" w:rsidRPr="00E32599">
        <w:rPr>
          <w:color w:val="1F497D" w:themeColor="text2"/>
        </w:rPr>
        <w:fldChar w:fldCharType="begin"/>
      </w:r>
      <w:r w:rsidRPr="00E32599">
        <w:rPr>
          <w:color w:val="1F497D" w:themeColor="text2"/>
          <w:lang w:val="en-US"/>
        </w:rPr>
        <w:instrText xml:space="preserve"> SEQ Figure \* ARABIC </w:instrText>
      </w:r>
      <w:r w:rsidR="009B29F4" w:rsidRPr="00E32599">
        <w:rPr>
          <w:color w:val="1F497D" w:themeColor="text2"/>
        </w:rPr>
        <w:fldChar w:fldCharType="separate"/>
      </w:r>
      <w:r w:rsidR="00156B1D">
        <w:rPr>
          <w:noProof/>
          <w:color w:val="1F497D" w:themeColor="text2"/>
          <w:lang w:val="en-US"/>
        </w:rPr>
        <w:t>4</w:t>
      </w:r>
      <w:r w:rsidR="009B29F4" w:rsidRPr="00E32599">
        <w:rPr>
          <w:color w:val="1F497D" w:themeColor="text2"/>
        </w:rPr>
        <w:fldChar w:fldCharType="end"/>
      </w:r>
      <w:r w:rsidRPr="00E32599">
        <w:rPr>
          <w:color w:val="1F497D" w:themeColor="text2"/>
          <w:lang w:val="en-US"/>
        </w:rPr>
        <w:t>: rock formations in the Lead Window</w:t>
      </w:r>
      <w:r w:rsidR="002B1F4D" w:rsidRPr="00E32599">
        <w:rPr>
          <w:color w:val="1F497D" w:themeColor="text2"/>
          <w:lang w:val="en-US"/>
        </w:rPr>
        <w:t xml:space="preserve">: </w:t>
      </w:r>
      <w:r w:rsidR="000B4B36" w:rsidRPr="00E32599">
        <w:rPr>
          <w:color w:val="1F497D" w:themeColor="text2"/>
          <w:lang w:val="en-US"/>
        </w:rPr>
        <w:t>the principal formations are</w:t>
      </w:r>
      <w:r w:rsidR="002B1F4D" w:rsidRPr="00E32599">
        <w:rPr>
          <w:color w:val="1F497D" w:themeColor="text2"/>
          <w:lang w:val="en-US"/>
        </w:rPr>
        <w:t xml:space="preserve"> </w:t>
      </w:r>
      <w:r w:rsidR="002B1F4D" w:rsidRPr="00E32599">
        <w:rPr>
          <w:i/>
          <w:color w:val="1F497D" w:themeColor="text2"/>
          <w:lang w:val="en-US"/>
        </w:rPr>
        <w:t>Poorman, Homestake and Ellison</w:t>
      </w:r>
      <w:sdt>
        <w:sdtPr>
          <w:rPr>
            <w:color w:val="1F497D" w:themeColor="text2"/>
          </w:rPr>
          <w:id w:val="5660477"/>
          <w:citation/>
        </w:sdtPr>
        <w:sdtEndPr>
          <w:rPr>
            <w:color w:val="4F81BD" w:themeColor="accent1"/>
            <w:vertAlign w:val="superscript"/>
          </w:rPr>
        </w:sdtEndPr>
        <w:sdtContent>
          <w:r w:rsidR="009B29F4">
            <w:rPr>
              <w:color w:val="1F497D" w:themeColor="text2"/>
              <w:vertAlign w:val="superscript"/>
            </w:rPr>
            <w:fldChar w:fldCharType="begin"/>
          </w:r>
          <w:r w:rsidR="007C4548" w:rsidRPr="007C4548">
            <w:rPr>
              <w:color w:val="1F497D" w:themeColor="text2"/>
              <w:vertAlign w:val="superscript"/>
              <w:lang w:val="en-US"/>
            </w:rPr>
            <w:instrText xml:space="preserve"> CITATION Cam \l 1040  </w:instrText>
          </w:r>
          <w:r w:rsidR="009B29F4">
            <w:rPr>
              <w:color w:val="1F497D" w:themeColor="text2"/>
              <w:vertAlign w:val="superscript"/>
            </w:rPr>
            <w:fldChar w:fldCharType="separate"/>
          </w:r>
          <w:r w:rsidR="00EB71AC">
            <w:rPr>
              <w:noProof/>
              <w:color w:val="1F497D" w:themeColor="text2"/>
              <w:vertAlign w:val="superscript"/>
              <w:lang w:val="en-US"/>
            </w:rPr>
            <w:t xml:space="preserve"> </w:t>
          </w:r>
          <w:r w:rsidR="00EB71AC" w:rsidRPr="00EB71AC">
            <w:rPr>
              <w:noProof/>
              <w:color w:val="1F497D" w:themeColor="text2"/>
              <w:vertAlign w:val="superscript"/>
              <w:lang w:val="en-US"/>
            </w:rPr>
            <w:t>(3)</w:t>
          </w:r>
          <w:r w:rsidR="009B29F4">
            <w:rPr>
              <w:color w:val="1F497D" w:themeColor="text2"/>
              <w:vertAlign w:val="superscript"/>
            </w:rPr>
            <w:fldChar w:fldCharType="end"/>
          </w:r>
        </w:sdtContent>
      </w:sdt>
    </w:p>
    <w:p w:rsidR="00B5029A" w:rsidRDefault="007713BE" w:rsidP="000B4B36">
      <w:pPr>
        <w:jc w:val="both"/>
        <w:rPr>
          <w:lang w:val="en-US"/>
        </w:rPr>
      </w:pPr>
      <w:r>
        <w:rPr>
          <w:lang w:val="en-US"/>
        </w:rPr>
        <w:t>Homestake metamorphic rock types are divided in three principal units</w:t>
      </w:r>
      <w:r w:rsidR="00633977">
        <w:rPr>
          <w:lang w:val="en-US"/>
        </w:rPr>
        <w:t>, listed from oldest to youngest</w:t>
      </w:r>
      <w:sdt>
        <w:sdtPr>
          <w:rPr>
            <w:lang w:val="en-US"/>
          </w:rPr>
          <w:id w:val="5660478"/>
          <w:citation/>
        </w:sdtPr>
        <w:sdtEndPr>
          <w:rPr>
            <w:vertAlign w:val="superscript"/>
          </w:rPr>
        </w:sdtEndPr>
        <w:sdtContent>
          <w:r w:rsidR="009B29F4">
            <w:rPr>
              <w:vertAlign w:val="superscript"/>
              <w:lang w:val="en-US"/>
            </w:rPr>
            <w:fldChar w:fldCharType="begin"/>
          </w:r>
          <w:r w:rsidR="007C4548" w:rsidRPr="007C4548">
            <w:rPr>
              <w:vertAlign w:val="superscript"/>
              <w:lang w:val="en-US"/>
            </w:rPr>
            <w:instrText xml:space="preserve"> CITATION Cam \l 1040  </w:instrText>
          </w:r>
          <w:r w:rsidR="009B29F4">
            <w:rPr>
              <w:vertAlign w:val="superscript"/>
              <w:lang w:val="en-US"/>
            </w:rPr>
            <w:fldChar w:fldCharType="separate"/>
          </w:r>
          <w:r w:rsidR="00EB71AC">
            <w:rPr>
              <w:noProof/>
              <w:vertAlign w:val="superscript"/>
              <w:lang w:val="en-US"/>
            </w:rPr>
            <w:t xml:space="preserve"> </w:t>
          </w:r>
          <w:r w:rsidR="00EB71AC" w:rsidRPr="00EB71AC">
            <w:rPr>
              <w:noProof/>
              <w:vertAlign w:val="superscript"/>
              <w:lang w:val="en-US"/>
            </w:rPr>
            <w:t>(3)</w:t>
          </w:r>
          <w:r w:rsidR="009B29F4">
            <w:rPr>
              <w:vertAlign w:val="superscript"/>
              <w:lang w:val="en-US"/>
            </w:rPr>
            <w:fldChar w:fldCharType="end"/>
          </w:r>
        </w:sdtContent>
      </w:sdt>
      <w:r>
        <w:rPr>
          <w:lang w:val="en-US"/>
        </w:rPr>
        <w:t xml:space="preserve">: </w:t>
      </w:r>
      <w:r w:rsidRPr="007713BE">
        <w:rPr>
          <w:lang w:val="en-US"/>
        </w:rPr>
        <w:t>Poorman, Homestake, and Ellison formations</w:t>
      </w:r>
      <w:r>
        <w:rPr>
          <w:lang w:val="en-US"/>
        </w:rPr>
        <w:t>.</w:t>
      </w:r>
      <w:r w:rsidR="00633977">
        <w:rPr>
          <w:lang w:val="en-US"/>
        </w:rPr>
        <w:t xml:space="preserve"> </w:t>
      </w:r>
      <w:r w:rsidR="00633977" w:rsidRPr="00633977">
        <w:rPr>
          <w:lang w:val="en-US"/>
        </w:rPr>
        <w:t>The base of the Poorman Formation consists of metamorphosed tholeiitic basalt with possible back-arc basin affinities</w:t>
      </w:r>
      <w:r w:rsidR="00633977">
        <w:rPr>
          <w:lang w:val="en-US"/>
        </w:rPr>
        <w:t xml:space="preserve"> in addition to </w:t>
      </w:r>
      <w:r w:rsidR="00633977" w:rsidRPr="00633977">
        <w:rPr>
          <w:lang w:val="en-US"/>
        </w:rPr>
        <w:t>metasediments</w:t>
      </w:r>
      <w:r w:rsidR="00633977">
        <w:rPr>
          <w:lang w:val="en-US"/>
        </w:rPr>
        <w:t xml:space="preserve"> composed by a complex succession of rock types, mostly deriving from </w:t>
      </w:r>
      <w:r w:rsidR="00633977" w:rsidRPr="00633977">
        <w:rPr>
          <w:lang w:val="en-US"/>
        </w:rPr>
        <w:t xml:space="preserve">chemical precipitates dominated by Ca and Mg carbonates admixed with fine-grained terrigenous detrital material followed by input from </w:t>
      </w:r>
      <w:r w:rsidR="00633977" w:rsidRPr="00633977">
        <w:rPr>
          <w:lang w:val="en-US"/>
        </w:rPr>
        <w:lastRenderedPageBreak/>
        <w:t>seafloor volcanic exhalative activity and minor volcanic ash. This metasedimentary sequence was followed by a transition to Fe and Mg carbonate chemical precipitation and iron formation near the top of the Poorman Formation and into the Homestake Formation.</w:t>
      </w:r>
      <w:r w:rsidR="00633977">
        <w:rPr>
          <w:lang w:val="en-US"/>
        </w:rPr>
        <w:t xml:space="preserve"> </w:t>
      </w:r>
      <w:r w:rsidR="000E59ED" w:rsidRPr="000E59ED">
        <w:rPr>
          <w:lang w:val="en-US"/>
        </w:rPr>
        <w:t xml:space="preserve">Carbonate facies iron formation interlayered with marl </w:t>
      </w:r>
      <w:r w:rsidR="000E59ED">
        <w:rPr>
          <w:lang w:val="en-US"/>
        </w:rPr>
        <w:t xml:space="preserve">are common </w:t>
      </w:r>
      <w:r w:rsidR="000E59ED" w:rsidRPr="000E59ED">
        <w:rPr>
          <w:lang w:val="en-US"/>
        </w:rPr>
        <w:t>throughout</w:t>
      </w:r>
      <w:r w:rsidR="000E59ED">
        <w:rPr>
          <w:lang w:val="en-US"/>
        </w:rPr>
        <w:t xml:space="preserve"> this f</w:t>
      </w:r>
      <w:r w:rsidR="000E59ED" w:rsidRPr="000E59ED">
        <w:rPr>
          <w:lang w:val="en-US"/>
        </w:rPr>
        <w:t>ormation</w:t>
      </w:r>
      <w:r w:rsidR="000E59ED">
        <w:rPr>
          <w:lang w:val="en-US"/>
        </w:rPr>
        <w:t xml:space="preserve">. </w:t>
      </w:r>
      <w:r w:rsidR="000E59ED" w:rsidRPr="000E59ED">
        <w:rPr>
          <w:lang w:val="en-US"/>
        </w:rPr>
        <w:t xml:space="preserve">Finally, </w:t>
      </w:r>
      <w:r w:rsidR="000E59ED">
        <w:rPr>
          <w:lang w:val="en-US"/>
        </w:rPr>
        <w:t>the superjacent Ellison Formation</w:t>
      </w:r>
      <w:r w:rsidR="000E59ED" w:rsidRPr="000E59ED">
        <w:rPr>
          <w:lang w:val="en-US"/>
        </w:rPr>
        <w:t xml:space="preserve"> is interpreted as a metaclastic sequence dominated by feldspathic litharenite with abundant shale, siltstone, and tuffaceous units</w:t>
      </w:r>
      <w:r w:rsidR="000E59ED">
        <w:rPr>
          <w:lang w:val="en-US"/>
        </w:rPr>
        <w:t>, result of tecnonism in the area and deep marine fans</w:t>
      </w:r>
      <w:r w:rsidR="000E59ED" w:rsidRPr="000E59ED">
        <w:rPr>
          <w:lang w:val="en-US"/>
        </w:rPr>
        <w:t>.</w:t>
      </w:r>
      <w:r w:rsidR="00B21402">
        <w:rPr>
          <w:lang w:val="en-US"/>
        </w:rPr>
        <w:t xml:space="preserve"> </w:t>
      </w:r>
      <w:r w:rsidR="00B21402" w:rsidRPr="00B21402">
        <w:rPr>
          <w:lang w:val="en-US"/>
        </w:rPr>
        <w:t>The entire rock package was subjected to several periods of deformation during the Precambrian</w:t>
      </w:r>
      <w:r w:rsidR="00B9674F">
        <w:rPr>
          <w:lang w:val="en-US"/>
        </w:rPr>
        <w:t>: r</w:t>
      </w:r>
      <w:r w:rsidR="00B21402" w:rsidRPr="00B21402">
        <w:rPr>
          <w:lang w:val="en-US"/>
        </w:rPr>
        <w:t>egional prograde metamorphism was overprinted by a metamorphic event that is related to the emp</w:t>
      </w:r>
      <w:r w:rsidR="00B21402">
        <w:rPr>
          <w:lang w:val="en-US"/>
        </w:rPr>
        <w:t>lacement of g</w:t>
      </w:r>
      <w:r w:rsidR="00B21402" w:rsidRPr="00B21402">
        <w:rPr>
          <w:lang w:val="en-US"/>
        </w:rPr>
        <w:t>ranite</w:t>
      </w:r>
      <w:r w:rsidR="00B21402">
        <w:rPr>
          <w:lang w:val="en-US"/>
        </w:rPr>
        <w:t>.</w:t>
      </w:r>
      <w:r w:rsidR="00B5029A">
        <w:rPr>
          <w:lang w:val="en-US"/>
        </w:rPr>
        <w:t xml:space="preserve"> These deformations led to </w:t>
      </w:r>
      <w:r w:rsidR="00B5029A" w:rsidRPr="00B5029A">
        <w:rPr>
          <w:lang w:val="en-US"/>
        </w:rPr>
        <w:t>comp</w:t>
      </w:r>
      <w:r w:rsidR="00B5029A">
        <w:rPr>
          <w:lang w:val="en-US"/>
        </w:rPr>
        <w:t xml:space="preserve">lex fold patterns and localized </w:t>
      </w:r>
      <w:r w:rsidR="00B5029A" w:rsidRPr="00B5029A">
        <w:rPr>
          <w:lang w:val="en-US"/>
        </w:rPr>
        <w:t>shear zones</w:t>
      </w:r>
      <w:r w:rsidR="00B5029A">
        <w:rPr>
          <w:lang w:val="en-US"/>
        </w:rPr>
        <w:t>.</w:t>
      </w:r>
      <w:r w:rsidR="00B5029A" w:rsidRPr="00B5029A">
        <w:rPr>
          <w:lang w:val="en-US"/>
        </w:rPr>
        <w:t xml:space="preserve"> </w:t>
      </w:r>
      <w:r w:rsidR="00B5029A">
        <w:rPr>
          <w:lang w:val="en-US"/>
        </w:rPr>
        <w:t xml:space="preserve">This </w:t>
      </w:r>
      <w:r w:rsidR="00B5029A" w:rsidRPr="00B5029A">
        <w:rPr>
          <w:lang w:val="en-US"/>
        </w:rPr>
        <w:t>system of smaller-scale synclines and anticlines</w:t>
      </w:r>
      <w:r w:rsidR="00B5029A">
        <w:rPr>
          <w:lang w:val="en-US"/>
        </w:rPr>
        <w:t xml:space="preserve"> </w:t>
      </w:r>
      <w:r w:rsidR="00B5029A" w:rsidRPr="00B5029A">
        <w:rPr>
          <w:lang w:val="en-US"/>
        </w:rPr>
        <w:t>imprinted on the Homestake formation</w:t>
      </w:r>
      <w:r w:rsidR="00B5029A">
        <w:rPr>
          <w:lang w:val="en-US"/>
        </w:rPr>
        <w:t xml:space="preserve"> is showed in </w:t>
      </w:r>
      <w:r w:rsidR="00B5029A" w:rsidRPr="00B9674F">
        <w:rPr>
          <w:i/>
          <w:lang w:val="en-US"/>
        </w:rPr>
        <w:t>figure 5</w:t>
      </w:r>
      <w:r w:rsidR="00B5029A">
        <w:rPr>
          <w:lang w:val="en-US"/>
        </w:rPr>
        <w:t xml:space="preserve">: the folds are called </w:t>
      </w:r>
      <w:r w:rsidR="00B5029A" w:rsidRPr="00B5029A">
        <w:rPr>
          <w:i/>
          <w:lang w:val="en-US"/>
        </w:rPr>
        <w:t>ledges</w:t>
      </w:r>
      <w:r w:rsidR="00B5029A">
        <w:rPr>
          <w:lang w:val="en-US"/>
        </w:rPr>
        <w:t xml:space="preserve"> and are numbered from East to West. </w:t>
      </w:r>
      <w:r w:rsidR="00494FD0">
        <w:rPr>
          <w:lang w:val="en-US"/>
        </w:rPr>
        <w:t xml:space="preserve">Two of </w:t>
      </w:r>
      <w:r w:rsidR="00494FD0" w:rsidRPr="00494FD0">
        <w:rPr>
          <w:lang w:val="en-US"/>
        </w:rPr>
        <w:t>the first synclines</w:t>
      </w:r>
      <w:r w:rsidR="00494FD0">
        <w:rPr>
          <w:lang w:val="en-US"/>
        </w:rPr>
        <w:t xml:space="preserve"> have their own name: the </w:t>
      </w:r>
      <w:r w:rsidR="00494FD0" w:rsidRPr="00494FD0">
        <w:rPr>
          <w:i/>
          <w:lang w:val="en-US"/>
        </w:rPr>
        <w:t>Main Ledge</w:t>
      </w:r>
      <w:r w:rsidR="00494FD0" w:rsidRPr="00494FD0">
        <w:rPr>
          <w:lang w:val="en-US"/>
        </w:rPr>
        <w:t xml:space="preserve"> and </w:t>
      </w:r>
      <w:r w:rsidR="00494FD0" w:rsidRPr="00494FD0">
        <w:rPr>
          <w:i/>
          <w:lang w:val="en-US"/>
        </w:rPr>
        <w:t>Caledonia Ledge</w:t>
      </w:r>
      <w:r w:rsidR="00494FD0">
        <w:rPr>
          <w:lang w:val="en-US"/>
        </w:rPr>
        <w:t>. The first one</w:t>
      </w:r>
      <w:r w:rsidR="00494FD0" w:rsidRPr="00494FD0">
        <w:rPr>
          <w:lang w:val="en-US"/>
        </w:rPr>
        <w:t xml:space="preserve"> wa</w:t>
      </w:r>
      <w:r w:rsidR="00494FD0">
        <w:rPr>
          <w:lang w:val="en-US"/>
        </w:rPr>
        <w:t xml:space="preserve">s mined underground </w:t>
      </w:r>
      <w:r w:rsidR="00494FD0" w:rsidRPr="00494FD0">
        <w:rPr>
          <w:lang w:val="en-US"/>
        </w:rPr>
        <w:t>a</w:t>
      </w:r>
      <w:r w:rsidR="00494FD0">
        <w:rPr>
          <w:lang w:val="en-US"/>
        </w:rPr>
        <w:t xml:space="preserve">nd in an aforesaid </w:t>
      </w:r>
      <w:r w:rsidR="00494FD0" w:rsidRPr="00494FD0">
        <w:rPr>
          <w:i/>
          <w:lang w:val="en-US"/>
        </w:rPr>
        <w:t>open cut</w:t>
      </w:r>
      <w:r w:rsidR="00494FD0" w:rsidRPr="00494FD0">
        <w:rPr>
          <w:lang w:val="en-US"/>
        </w:rPr>
        <w:t xml:space="preserve"> producing most of the gold</w:t>
      </w:r>
      <w:r w:rsidR="00401421">
        <w:rPr>
          <w:lang w:val="en-US"/>
        </w:rPr>
        <w:t xml:space="preserve"> from Homestake mine</w:t>
      </w:r>
      <w:r w:rsidR="00494FD0" w:rsidRPr="00494FD0">
        <w:rPr>
          <w:lang w:val="en-US"/>
        </w:rPr>
        <w:t>.</w:t>
      </w:r>
    </w:p>
    <w:p w:rsidR="00017ED4" w:rsidRDefault="00017ED4" w:rsidP="000B4B36">
      <w:pPr>
        <w:jc w:val="both"/>
        <w:rPr>
          <w:lang w:val="en-US"/>
        </w:rPr>
      </w:pPr>
    </w:p>
    <w:p w:rsidR="00EB5618" w:rsidRDefault="00EB5618" w:rsidP="00C118EE">
      <w:pPr>
        <w:keepNext/>
        <w:jc w:val="center"/>
      </w:pPr>
      <w:r>
        <w:rPr>
          <w:noProof/>
          <w:lang w:eastAsia="it-IT"/>
        </w:rPr>
        <w:drawing>
          <wp:inline distT="0" distB="0" distL="0" distR="0">
            <wp:extent cx="4400550" cy="5597059"/>
            <wp:effectExtent l="19050" t="0" r="0" b="0"/>
            <wp:docPr id="5" name="Immagine 3" descr="C:\Documents and Settings\pc\Desktop\seminario_e_paper_homestake\X-sect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c\Desktop\seminario_e_paper_homestake\X-sect1.gif"/>
                    <pic:cNvPicPr>
                      <a:picLocks noChangeAspect="1" noChangeArrowheads="1"/>
                    </pic:cNvPicPr>
                  </pic:nvPicPr>
                  <pic:blipFill>
                    <a:blip r:embed="rId11"/>
                    <a:srcRect/>
                    <a:stretch>
                      <a:fillRect/>
                    </a:stretch>
                  </pic:blipFill>
                  <pic:spPr bwMode="auto">
                    <a:xfrm>
                      <a:off x="0" y="0"/>
                      <a:ext cx="4399002" cy="5595091"/>
                    </a:xfrm>
                    <a:prstGeom prst="rect">
                      <a:avLst/>
                    </a:prstGeom>
                    <a:noFill/>
                    <a:ln w="9525">
                      <a:noFill/>
                      <a:miter lim="800000"/>
                      <a:headEnd/>
                      <a:tailEnd/>
                    </a:ln>
                  </pic:spPr>
                </pic:pic>
              </a:graphicData>
            </a:graphic>
          </wp:inline>
        </w:drawing>
      </w:r>
    </w:p>
    <w:p w:rsidR="00EB5618" w:rsidRDefault="00EB5618" w:rsidP="00C118EE">
      <w:pPr>
        <w:pStyle w:val="Didascalia"/>
        <w:jc w:val="center"/>
        <w:rPr>
          <w:lang w:val="en-US"/>
        </w:rPr>
      </w:pPr>
      <w:r w:rsidRPr="00E32599">
        <w:rPr>
          <w:color w:val="1F497D" w:themeColor="text2"/>
          <w:lang w:val="en-US"/>
        </w:rPr>
        <w:t xml:space="preserve">Figure </w:t>
      </w:r>
      <w:r w:rsidR="009B29F4" w:rsidRPr="00E32599">
        <w:rPr>
          <w:color w:val="1F497D" w:themeColor="text2"/>
        </w:rPr>
        <w:fldChar w:fldCharType="begin"/>
      </w:r>
      <w:r w:rsidRPr="00E32599">
        <w:rPr>
          <w:color w:val="1F497D" w:themeColor="text2"/>
          <w:lang w:val="en-US"/>
        </w:rPr>
        <w:instrText xml:space="preserve"> SEQ Figure \* ARABIC </w:instrText>
      </w:r>
      <w:r w:rsidR="009B29F4" w:rsidRPr="00E32599">
        <w:rPr>
          <w:color w:val="1F497D" w:themeColor="text2"/>
        </w:rPr>
        <w:fldChar w:fldCharType="separate"/>
      </w:r>
      <w:r w:rsidR="00156B1D">
        <w:rPr>
          <w:noProof/>
          <w:color w:val="1F497D" w:themeColor="text2"/>
          <w:lang w:val="en-US"/>
        </w:rPr>
        <w:t>5</w:t>
      </w:r>
      <w:r w:rsidR="009B29F4" w:rsidRPr="00E32599">
        <w:rPr>
          <w:color w:val="1F497D" w:themeColor="text2"/>
        </w:rPr>
        <w:fldChar w:fldCharType="end"/>
      </w:r>
      <w:r w:rsidRPr="00E32599">
        <w:rPr>
          <w:color w:val="1F497D" w:themeColor="text2"/>
          <w:lang w:val="en-US"/>
        </w:rPr>
        <w:t>: the cross section of the Lead Dome shows synclines (ledges) and anticlines</w:t>
      </w:r>
      <w:sdt>
        <w:sdtPr>
          <w:rPr>
            <w:color w:val="1F497D" w:themeColor="text2"/>
            <w:lang w:val="en-US"/>
          </w:rPr>
          <w:id w:val="5660490"/>
          <w:citation/>
        </w:sdtPr>
        <w:sdtEndPr>
          <w:rPr>
            <w:color w:val="4F81BD" w:themeColor="accent1"/>
            <w:vertAlign w:val="superscript"/>
          </w:rPr>
        </w:sdtEndPr>
        <w:sdtContent>
          <w:r w:rsidR="009B29F4">
            <w:rPr>
              <w:color w:val="1F497D" w:themeColor="text2"/>
              <w:vertAlign w:val="superscript"/>
              <w:lang w:val="en-US"/>
            </w:rPr>
            <w:fldChar w:fldCharType="begin"/>
          </w:r>
          <w:r w:rsidR="007C4548" w:rsidRPr="007C4548">
            <w:rPr>
              <w:color w:val="1F497D" w:themeColor="text2"/>
              <w:vertAlign w:val="superscript"/>
              <w:lang w:val="en-US"/>
            </w:rPr>
            <w:instrText xml:space="preserve"> CITATION Cam \l 1040  </w:instrText>
          </w:r>
          <w:r w:rsidR="009B29F4">
            <w:rPr>
              <w:color w:val="1F497D" w:themeColor="text2"/>
              <w:vertAlign w:val="superscript"/>
              <w:lang w:val="en-US"/>
            </w:rPr>
            <w:fldChar w:fldCharType="separate"/>
          </w:r>
          <w:r w:rsidR="00EB71AC">
            <w:rPr>
              <w:noProof/>
              <w:color w:val="1F497D" w:themeColor="text2"/>
              <w:vertAlign w:val="superscript"/>
              <w:lang w:val="en-US"/>
            </w:rPr>
            <w:t xml:space="preserve"> </w:t>
          </w:r>
          <w:r w:rsidR="00EB71AC" w:rsidRPr="00EB71AC">
            <w:rPr>
              <w:noProof/>
              <w:color w:val="1F497D" w:themeColor="text2"/>
              <w:vertAlign w:val="superscript"/>
              <w:lang w:val="en-US"/>
            </w:rPr>
            <w:t>(3)</w:t>
          </w:r>
          <w:r w:rsidR="009B29F4">
            <w:rPr>
              <w:color w:val="1F497D" w:themeColor="text2"/>
              <w:vertAlign w:val="superscript"/>
              <w:lang w:val="en-US"/>
            </w:rPr>
            <w:fldChar w:fldCharType="end"/>
          </w:r>
        </w:sdtContent>
      </w:sdt>
    </w:p>
    <w:p w:rsidR="00B818F7" w:rsidRDefault="00B818F7" w:rsidP="000B4B36">
      <w:pPr>
        <w:jc w:val="both"/>
        <w:rPr>
          <w:lang w:val="en-US"/>
        </w:rPr>
      </w:pPr>
      <w:r w:rsidRPr="00B818F7">
        <w:rPr>
          <w:noProof/>
          <w:lang w:eastAsia="it-IT"/>
        </w:rPr>
        <w:lastRenderedPageBreak/>
        <w:drawing>
          <wp:anchor distT="0" distB="0" distL="114300" distR="114300" simplePos="0" relativeHeight="251660288" behindDoc="0" locked="0" layoutInCell="1" allowOverlap="1">
            <wp:simplePos x="0" y="0"/>
            <wp:positionH relativeFrom="column">
              <wp:posOffset>15240</wp:posOffset>
            </wp:positionH>
            <wp:positionV relativeFrom="paragraph">
              <wp:posOffset>52705</wp:posOffset>
            </wp:positionV>
            <wp:extent cx="3515360" cy="2636520"/>
            <wp:effectExtent l="19050" t="0" r="8890" b="0"/>
            <wp:wrapSquare wrapText="left"/>
            <wp:docPr id="10" name="Immagine 4" descr="C:\Documents and Settings\pc\Desktop\P100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c\Desktop\P1000926.JPG"/>
                    <pic:cNvPicPr>
                      <a:picLocks noChangeAspect="1" noChangeArrowheads="1"/>
                    </pic:cNvPicPr>
                  </pic:nvPicPr>
                  <pic:blipFill>
                    <a:blip r:embed="rId12" cstate="print"/>
                    <a:srcRect/>
                    <a:stretch>
                      <a:fillRect/>
                    </a:stretch>
                  </pic:blipFill>
                  <pic:spPr bwMode="auto">
                    <a:xfrm>
                      <a:off x="0" y="0"/>
                      <a:ext cx="3515360" cy="2636520"/>
                    </a:xfrm>
                    <a:prstGeom prst="rect">
                      <a:avLst/>
                    </a:prstGeom>
                    <a:noFill/>
                    <a:ln w="9525">
                      <a:noFill/>
                      <a:miter lim="800000"/>
                      <a:headEnd/>
                      <a:tailEnd/>
                    </a:ln>
                  </pic:spPr>
                </pic:pic>
              </a:graphicData>
            </a:graphic>
          </wp:anchor>
        </w:drawing>
      </w:r>
      <w:r w:rsidR="00B5029A" w:rsidRPr="00B5029A">
        <w:rPr>
          <w:lang w:val="en-US"/>
        </w:rPr>
        <w:t xml:space="preserve">Ore mineralization consists </w:t>
      </w:r>
      <w:r w:rsidR="000B4B36">
        <w:rPr>
          <w:lang w:val="en-US"/>
        </w:rPr>
        <w:t xml:space="preserve">of pyrrhotite, arsenopyrite, </w:t>
      </w:r>
      <w:r w:rsidR="00B5029A" w:rsidRPr="00B5029A">
        <w:rPr>
          <w:lang w:val="en-US"/>
        </w:rPr>
        <w:t xml:space="preserve">pyrite, and native gold associated with chlorite group minerals, quartz, siderite, ankerite, and biotite. This Precambrian mineralization is intimately associated with a specific stage of quartz veining and ductile shear zones. </w:t>
      </w:r>
      <w:r w:rsidR="00B5029A" w:rsidRPr="000B4B36">
        <w:rPr>
          <w:lang w:val="en-US"/>
        </w:rPr>
        <w:t>Individual ore bodies are relatively undeformed</w:t>
      </w:r>
      <w:r w:rsidR="000B4B36" w:rsidRPr="000B4B36">
        <w:rPr>
          <w:lang w:val="en-US"/>
        </w:rPr>
        <w:t>. Ninety-five percent of the gold mineralization is hosted in the Homestake Formation with the remainder in the Poorman Formation and to a much lesser extent, the Ellison Formation</w:t>
      </w:r>
      <w:r w:rsidR="000B4B36">
        <w:rPr>
          <w:lang w:val="en-US"/>
        </w:rPr>
        <w:t xml:space="preserve">. </w:t>
      </w:r>
    </w:p>
    <w:p w:rsidR="00F25EB0" w:rsidRDefault="009B29F4" w:rsidP="000B4B36">
      <w:pPr>
        <w:jc w:val="both"/>
        <w:rPr>
          <w:lang w:val="en-US"/>
        </w:rPr>
      </w:pPr>
      <w:r>
        <w:rPr>
          <w:noProof/>
        </w:rPr>
        <w:pict>
          <v:shapetype id="_x0000_t202" coordsize="21600,21600" o:spt="202" path="m,l,21600r21600,l21600,xe">
            <v:stroke joinstyle="miter"/>
            <v:path gradientshapeok="t" o:connecttype="rect"/>
          </v:shapetype>
          <v:shape id="_x0000_s1026" type="#_x0000_t202" style="position:absolute;left:0;text-align:left;margin-left:-286.5pt;margin-top:5.5pt;width:276.8pt;height:11.7pt;z-index:251662336" stroked="f">
            <v:textbox style="mso-next-textbox:#_x0000_s1026" inset="0,0,0,0">
              <w:txbxContent>
                <w:p w:rsidR="003A4FB4" w:rsidRPr="00B818F7" w:rsidRDefault="003A4FB4" w:rsidP="00B818F7">
                  <w:pPr>
                    <w:pStyle w:val="Didascalia"/>
                    <w:rPr>
                      <w:color w:val="1F497D" w:themeColor="text2"/>
                      <w:lang w:val="en-US"/>
                    </w:rPr>
                  </w:pPr>
                  <w:r w:rsidRPr="00B818F7">
                    <w:rPr>
                      <w:color w:val="1F497D" w:themeColor="text2"/>
                      <w:lang w:val="en-US"/>
                    </w:rPr>
                    <w:t xml:space="preserve">Figure </w:t>
                  </w:r>
                  <w:r w:rsidR="009B29F4" w:rsidRPr="00B818F7">
                    <w:rPr>
                      <w:color w:val="1F497D" w:themeColor="text2"/>
                    </w:rPr>
                    <w:fldChar w:fldCharType="begin"/>
                  </w:r>
                  <w:r w:rsidRPr="00B818F7">
                    <w:rPr>
                      <w:color w:val="1F497D" w:themeColor="text2"/>
                      <w:lang w:val="en-US"/>
                    </w:rPr>
                    <w:instrText xml:space="preserve"> SEQ Figure \* ARABIC </w:instrText>
                  </w:r>
                  <w:r w:rsidR="009B29F4" w:rsidRPr="00B818F7">
                    <w:rPr>
                      <w:color w:val="1F497D" w:themeColor="text2"/>
                    </w:rPr>
                    <w:fldChar w:fldCharType="separate"/>
                  </w:r>
                  <w:r w:rsidR="00156B1D">
                    <w:rPr>
                      <w:noProof/>
                      <w:color w:val="1F497D" w:themeColor="text2"/>
                      <w:lang w:val="en-US"/>
                    </w:rPr>
                    <w:t>6</w:t>
                  </w:r>
                  <w:r w:rsidR="009B29F4" w:rsidRPr="00B818F7">
                    <w:rPr>
                      <w:color w:val="1F497D" w:themeColor="text2"/>
                    </w:rPr>
                    <w:fldChar w:fldCharType="end"/>
                  </w:r>
                  <w:r w:rsidRPr="00B818F7">
                    <w:rPr>
                      <w:color w:val="1F497D" w:themeColor="text2"/>
                      <w:lang w:val="en-US"/>
                    </w:rPr>
                    <w:t>: the mined open cut of Homestake in Lead, SD</w:t>
                  </w:r>
                </w:p>
              </w:txbxContent>
            </v:textbox>
            <w10:wrap type="square" side="left"/>
          </v:shape>
        </w:pict>
      </w:r>
    </w:p>
    <w:p w:rsidR="00F25EB0" w:rsidRDefault="00F25EB0" w:rsidP="00B818F7">
      <w:pPr>
        <w:jc w:val="both"/>
        <w:rPr>
          <w:lang w:val="en-US"/>
        </w:rPr>
      </w:pPr>
    </w:p>
    <w:p w:rsidR="00B818F7" w:rsidRDefault="000B4B36" w:rsidP="00B818F7">
      <w:pPr>
        <w:jc w:val="both"/>
        <w:rPr>
          <w:lang w:val="en-US"/>
        </w:rPr>
      </w:pPr>
      <w:r w:rsidRPr="000B4B36">
        <w:rPr>
          <w:lang w:val="en-US"/>
        </w:rPr>
        <w:t xml:space="preserve">Over </w:t>
      </w:r>
      <w:r w:rsidR="008B4484">
        <w:rPr>
          <w:lang w:val="en-US"/>
        </w:rPr>
        <w:t>a million kilograms</w:t>
      </w:r>
      <w:r w:rsidRPr="000B4B36">
        <w:rPr>
          <w:lang w:val="en-US"/>
        </w:rPr>
        <w:t xml:space="preserve"> of gold were produced from all of the ledges that were mined during the 126 y</w:t>
      </w:r>
      <w:r w:rsidR="008B4484">
        <w:rPr>
          <w:lang w:val="en-US"/>
        </w:rPr>
        <w:t xml:space="preserve">ear history of this </w:t>
      </w:r>
      <w:r w:rsidRPr="000B4B36">
        <w:rPr>
          <w:lang w:val="en-US"/>
        </w:rPr>
        <w:t>gold deposit that is the prototype for Precambrian iron formation-hosted gold deposits</w:t>
      </w:r>
      <w:r w:rsidR="008B4484">
        <w:rPr>
          <w:lang w:val="en-US"/>
        </w:rPr>
        <w:t xml:space="preserve"> across the world</w:t>
      </w:r>
      <w:r w:rsidRPr="000B4B36">
        <w:rPr>
          <w:lang w:val="en-US"/>
        </w:rPr>
        <w:t>.</w:t>
      </w:r>
      <w:r w:rsidR="00B818F7" w:rsidRPr="00B818F7">
        <w:rPr>
          <w:lang w:val="en-US"/>
        </w:rPr>
        <w:t xml:space="preserve"> </w:t>
      </w:r>
    </w:p>
    <w:p w:rsidR="00432569" w:rsidRDefault="009B29F4" w:rsidP="00B818F7">
      <w:pPr>
        <w:jc w:val="both"/>
        <w:rPr>
          <w:lang w:val="en-US"/>
        </w:rPr>
      </w:pPr>
      <w:r>
        <w:rPr>
          <w:noProof/>
        </w:rPr>
        <w:pict>
          <v:shape id="_x0000_s1031" type="#_x0000_t202" style="position:absolute;left:0;text-align:left;margin-left:150pt;margin-top:260.9pt;width:342.3pt;height:.05pt;z-index:251669504" stroked="f">
            <v:textbox style="mso-next-textbox:#_x0000_s1031;mso-fit-shape-to-text:t" inset="0,0,0,0">
              <w:txbxContent>
                <w:p w:rsidR="003A4FB4" w:rsidRPr="00F25EB0" w:rsidRDefault="003A4FB4" w:rsidP="00F25EB0">
                  <w:pPr>
                    <w:pStyle w:val="Didascalia"/>
                    <w:rPr>
                      <w:noProof/>
                      <w:color w:val="1F497D" w:themeColor="text2"/>
                      <w:lang w:val="en-US"/>
                    </w:rPr>
                  </w:pPr>
                  <w:r w:rsidRPr="00F25EB0">
                    <w:rPr>
                      <w:color w:val="1F497D" w:themeColor="text2"/>
                      <w:lang w:val="en-US"/>
                    </w:rPr>
                    <w:t xml:space="preserve">Figure </w:t>
                  </w:r>
                  <w:r w:rsidR="009B29F4" w:rsidRPr="00F25EB0">
                    <w:rPr>
                      <w:color w:val="1F497D" w:themeColor="text2"/>
                    </w:rPr>
                    <w:fldChar w:fldCharType="begin"/>
                  </w:r>
                  <w:r w:rsidRPr="00F25EB0">
                    <w:rPr>
                      <w:color w:val="1F497D" w:themeColor="text2"/>
                      <w:lang w:val="en-US"/>
                    </w:rPr>
                    <w:instrText xml:space="preserve"> SEQ Figure \* ARABIC </w:instrText>
                  </w:r>
                  <w:r w:rsidR="009B29F4" w:rsidRPr="00F25EB0">
                    <w:rPr>
                      <w:color w:val="1F497D" w:themeColor="text2"/>
                    </w:rPr>
                    <w:fldChar w:fldCharType="separate"/>
                  </w:r>
                  <w:r w:rsidR="00156B1D">
                    <w:rPr>
                      <w:noProof/>
                      <w:color w:val="1F497D" w:themeColor="text2"/>
                      <w:lang w:val="en-US"/>
                    </w:rPr>
                    <w:t>7</w:t>
                  </w:r>
                  <w:r w:rsidR="009B29F4" w:rsidRPr="00F25EB0">
                    <w:rPr>
                      <w:color w:val="1F497D" w:themeColor="text2"/>
                    </w:rPr>
                    <w:fldChar w:fldCharType="end"/>
                  </w:r>
                  <w:r w:rsidRPr="00F25EB0">
                    <w:rPr>
                      <w:color w:val="1F497D" w:themeColor="text2"/>
                      <w:lang w:val="en-US"/>
                    </w:rPr>
                    <w:t>: long section of ledges intersected by mine tunnels</w:t>
                  </w:r>
                  <w:sdt>
                    <w:sdtPr>
                      <w:rPr>
                        <w:color w:val="1F497D" w:themeColor="text2"/>
                        <w:lang w:val="en-US"/>
                      </w:rPr>
                      <w:id w:val="5941675"/>
                      <w:citation/>
                    </w:sdtPr>
                    <w:sdtEndPr>
                      <w:rPr>
                        <w:vertAlign w:val="superscript"/>
                      </w:rPr>
                    </w:sdtEndPr>
                    <w:sdtContent>
                      <w:r w:rsidR="009B29F4">
                        <w:rPr>
                          <w:color w:val="1F497D" w:themeColor="text2"/>
                          <w:vertAlign w:val="superscript"/>
                          <w:lang w:val="en-US"/>
                        </w:rPr>
                        <w:fldChar w:fldCharType="begin"/>
                      </w:r>
                      <w:r w:rsidRPr="007C4548">
                        <w:rPr>
                          <w:color w:val="1F497D" w:themeColor="text2"/>
                          <w:vertAlign w:val="superscript"/>
                          <w:lang w:val="en-US"/>
                        </w:rPr>
                        <w:instrText xml:space="preserve"> CITATION Cam \l 1040  </w:instrText>
                      </w:r>
                      <w:r w:rsidR="009B29F4">
                        <w:rPr>
                          <w:color w:val="1F497D" w:themeColor="text2"/>
                          <w:vertAlign w:val="superscript"/>
                          <w:lang w:val="en-US"/>
                        </w:rPr>
                        <w:fldChar w:fldCharType="separate"/>
                      </w:r>
                      <w:r>
                        <w:rPr>
                          <w:noProof/>
                          <w:color w:val="1F497D" w:themeColor="text2"/>
                          <w:vertAlign w:val="superscript"/>
                          <w:lang w:val="en-US"/>
                        </w:rPr>
                        <w:t xml:space="preserve"> </w:t>
                      </w:r>
                      <w:r w:rsidRPr="00EB71AC">
                        <w:rPr>
                          <w:noProof/>
                          <w:color w:val="1F497D" w:themeColor="text2"/>
                          <w:vertAlign w:val="superscript"/>
                          <w:lang w:val="en-US"/>
                        </w:rPr>
                        <w:t>(3)</w:t>
                      </w:r>
                      <w:r w:rsidR="009B29F4">
                        <w:rPr>
                          <w:color w:val="1F497D" w:themeColor="text2"/>
                          <w:vertAlign w:val="superscript"/>
                          <w:lang w:val="en-US"/>
                        </w:rPr>
                        <w:fldChar w:fldCharType="end"/>
                      </w:r>
                    </w:sdtContent>
                  </w:sdt>
                </w:p>
              </w:txbxContent>
            </v:textbox>
            <w10:wrap type="square"/>
          </v:shape>
        </w:pict>
      </w:r>
      <w:r w:rsidR="00F25EB0">
        <w:rPr>
          <w:noProof/>
          <w:lang w:eastAsia="it-IT"/>
        </w:rPr>
        <w:drawing>
          <wp:anchor distT="0" distB="0" distL="114300" distR="114300" simplePos="0" relativeHeight="251663360" behindDoc="0" locked="0" layoutInCell="1" allowOverlap="1">
            <wp:simplePos x="0" y="0"/>
            <wp:positionH relativeFrom="column">
              <wp:posOffset>1905000</wp:posOffset>
            </wp:positionH>
            <wp:positionV relativeFrom="paragraph">
              <wp:posOffset>33020</wp:posOffset>
            </wp:positionV>
            <wp:extent cx="4347210" cy="3223260"/>
            <wp:effectExtent l="19050" t="0" r="0" b="0"/>
            <wp:wrapSquare wrapText="bothSides"/>
            <wp:docPr id="12" name="Immagine 2" descr="C:\Documents and Settings\pc\Desktop\seminario_e_paper_homestake\long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c\Desktop\seminario_e_paper_homestake\longsection.jpg"/>
                    <pic:cNvPicPr>
                      <a:picLocks noChangeAspect="1" noChangeArrowheads="1"/>
                    </pic:cNvPicPr>
                  </pic:nvPicPr>
                  <pic:blipFill>
                    <a:blip r:embed="rId13"/>
                    <a:srcRect/>
                    <a:stretch>
                      <a:fillRect/>
                    </a:stretch>
                  </pic:blipFill>
                  <pic:spPr bwMode="auto">
                    <a:xfrm>
                      <a:off x="0" y="0"/>
                      <a:ext cx="4347210" cy="3223260"/>
                    </a:xfrm>
                    <a:prstGeom prst="rect">
                      <a:avLst/>
                    </a:prstGeom>
                    <a:noFill/>
                    <a:ln w="9525">
                      <a:noFill/>
                      <a:miter lim="800000"/>
                      <a:headEnd/>
                      <a:tailEnd/>
                    </a:ln>
                  </pic:spPr>
                </pic:pic>
              </a:graphicData>
            </a:graphic>
          </wp:anchor>
        </w:drawing>
      </w:r>
      <w:r w:rsidR="00D66FB2">
        <w:rPr>
          <w:lang w:val="en-US"/>
        </w:rPr>
        <w:t xml:space="preserve">All the aforesaid geological processes </w:t>
      </w:r>
      <w:r w:rsidR="00E32599">
        <w:rPr>
          <w:lang w:val="en-US"/>
        </w:rPr>
        <w:t xml:space="preserve">clearly </w:t>
      </w:r>
      <w:r w:rsidR="00D66FB2">
        <w:rPr>
          <w:lang w:val="en-US"/>
        </w:rPr>
        <w:t>led to a sequence of discontinuities between original and intrusive rocks with density variations to be considered when studying the seismic wave propagation underground</w:t>
      </w:r>
      <w:r w:rsidR="00AA462C">
        <w:rPr>
          <w:lang w:val="en-US"/>
        </w:rPr>
        <w:t xml:space="preserve"> and correlating the data provided by a 3-D network of seismometers</w:t>
      </w:r>
      <w:r w:rsidR="00D66FB2">
        <w:rPr>
          <w:lang w:val="en-US"/>
        </w:rPr>
        <w:t xml:space="preserve">. </w:t>
      </w:r>
      <w:r w:rsidR="00D66FB2" w:rsidRPr="00D66FB2">
        <w:rPr>
          <w:lang w:val="en-US"/>
        </w:rPr>
        <w:t>The Sanford Lab</w:t>
      </w:r>
      <w:r w:rsidR="00D66FB2">
        <w:rPr>
          <w:lang w:val="en-US"/>
        </w:rPr>
        <w:t>oratory</w:t>
      </w:r>
      <w:r w:rsidR="00D66FB2" w:rsidRPr="00D66FB2">
        <w:rPr>
          <w:lang w:val="en-US"/>
        </w:rPr>
        <w:t xml:space="preserve"> owns an extensive database of rock samples which can be used to calculate</w:t>
      </w:r>
      <w:r w:rsidR="00D66FB2">
        <w:rPr>
          <w:lang w:val="en-US"/>
        </w:rPr>
        <w:t xml:space="preserve"> the</w:t>
      </w:r>
      <w:r w:rsidR="00D66FB2" w:rsidRPr="00D66FB2">
        <w:rPr>
          <w:lang w:val="en-US"/>
        </w:rPr>
        <w:t xml:space="preserve"> profiles of rock density at vari</w:t>
      </w:r>
      <w:r w:rsidR="00D66FB2">
        <w:rPr>
          <w:lang w:val="en-US"/>
        </w:rPr>
        <w:t>o</w:t>
      </w:r>
      <w:r w:rsidR="00E32599">
        <w:rPr>
          <w:lang w:val="en-US"/>
        </w:rPr>
        <w:t>us levels.</w:t>
      </w:r>
    </w:p>
    <w:p w:rsidR="00B818F7" w:rsidRPr="00F25EB0" w:rsidRDefault="00B818F7" w:rsidP="00B818F7">
      <w:pPr>
        <w:keepNext/>
        <w:jc w:val="both"/>
        <w:rPr>
          <w:lang w:val="en-US"/>
        </w:rPr>
      </w:pPr>
    </w:p>
    <w:p w:rsidR="008D5295" w:rsidRDefault="008D5295" w:rsidP="000B4B36">
      <w:pPr>
        <w:jc w:val="both"/>
        <w:rPr>
          <w:b/>
          <w:sz w:val="28"/>
          <w:szCs w:val="28"/>
          <w:lang w:val="en-US"/>
        </w:rPr>
      </w:pPr>
    </w:p>
    <w:p w:rsidR="008D5295" w:rsidRDefault="008D5295" w:rsidP="000B4B36">
      <w:pPr>
        <w:jc w:val="both"/>
        <w:rPr>
          <w:b/>
          <w:sz w:val="28"/>
          <w:szCs w:val="28"/>
          <w:lang w:val="en-US"/>
        </w:rPr>
      </w:pPr>
    </w:p>
    <w:p w:rsidR="00180025" w:rsidRDefault="00180025" w:rsidP="000B4B36">
      <w:pPr>
        <w:jc w:val="both"/>
        <w:rPr>
          <w:b/>
          <w:sz w:val="28"/>
          <w:szCs w:val="28"/>
          <w:lang w:val="en-US"/>
        </w:rPr>
      </w:pPr>
    </w:p>
    <w:p w:rsidR="008D5295" w:rsidRDefault="008D5295" w:rsidP="000B4B36">
      <w:pPr>
        <w:jc w:val="both"/>
        <w:rPr>
          <w:b/>
          <w:sz w:val="28"/>
          <w:szCs w:val="28"/>
          <w:lang w:val="en-US"/>
        </w:rPr>
      </w:pPr>
    </w:p>
    <w:p w:rsidR="00B470FF" w:rsidRPr="00AA462C" w:rsidRDefault="00AA462C" w:rsidP="000B4B36">
      <w:pPr>
        <w:jc w:val="both"/>
        <w:rPr>
          <w:b/>
          <w:sz w:val="28"/>
          <w:szCs w:val="28"/>
          <w:lang w:val="en-US"/>
        </w:rPr>
      </w:pPr>
      <w:r>
        <w:rPr>
          <w:b/>
          <w:sz w:val="28"/>
          <w:szCs w:val="28"/>
          <w:lang w:val="en-US"/>
        </w:rPr>
        <w:lastRenderedPageBreak/>
        <w:t>III.</w:t>
      </w:r>
      <w:r w:rsidR="008D5295">
        <w:rPr>
          <w:b/>
          <w:sz w:val="28"/>
          <w:szCs w:val="28"/>
          <w:lang w:val="en-US"/>
        </w:rPr>
        <w:t xml:space="preserve"> Homestake - </w:t>
      </w:r>
      <w:r w:rsidR="00B470FF" w:rsidRPr="00AA462C">
        <w:rPr>
          <w:b/>
          <w:sz w:val="28"/>
          <w:szCs w:val="28"/>
          <w:lang w:val="en-US"/>
        </w:rPr>
        <w:t xml:space="preserve">Sanford </w:t>
      </w:r>
      <w:r w:rsidR="008D5295">
        <w:rPr>
          <w:b/>
          <w:sz w:val="28"/>
          <w:szCs w:val="28"/>
          <w:lang w:val="en-US"/>
        </w:rPr>
        <w:t xml:space="preserve">Underground </w:t>
      </w:r>
      <w:r w:rsidR="00B470FF" w:rsidRPr="00AA462C">
        <w:rPr>
          <w:b/>
          <w:sz w:val="28"/>
          <w:szCs w:val="28"/>
          <w:lang w:val="en-US"/>
        </w:rPr>
        <w:t>Lab</w:t>
      </w:r>
      <w:r w:rsidR="008D5295">
        <w:rPr>
          <w:b/>
          <w:sz w:val="28"/>
          <w:szCs w:val="28"/>
          <w:lang w:val="en-US"/>
        </w:rPr>
        <w:t>oratory</w:t>
      </w:r>
      <w:r w:rsidR="00B470FF" w:rsidRPr="00AA462C">
        <w:rPr>
          <w:b/>
          <w:sz w:val="28"/>
          <w:szCs w:val="28"/>
          <w:lang w:val="en-US"/>
        </w:rPr>
        <w:t xml:space="preserve"> infrastructure</w:t>
      </w:r>
    </w:p>
    <w:p w:rsidR="005B51F0" w:rsidRDefault="00D62847" w:rsidP="000B4B36">
      <w:pPr>
        <w:jc w:val="both"/>
        <w:rPr>
          <w:lang w:val="en-US"/>
        </w:rPr>
      </w:pPr>
      <w:r>
        <w:rPr>
          <w:lang w:val="en-US"/>
        </w:rPr>
        <w:t xml:space="preserve">The fundamental units of the former Homestake mine are the tunnels. Vertical tunnels are called </w:t>
      </w:r>
      <w:r w:rsidR="00176548">
        <w:rPr>
          <w:i/>
          <w:lang w:val="en-US"/>
        </w:rPr>
        <w:t>s</w:t>
      </w:r>
      <w:r w:rsidRPr="00D62847">
        <w:rPr>
          <w:i/>
          <w:lang w:val="en-US"/>
        </w:rPr>
        <w:t>hafts</w:t>
      </w:r>
      <w:r>
        <w:rPr>
          <w:lang w:val="en-US"/>
        </w:rPr>
        <w:t xml:space="preserve"> (if connected to the surface) or </w:t>
      </w:r>
      <w:r w:rsidR="00176548">
        <w:rPr>
          <w:i/>
          <w:lang w:val="en-US"/>
        </w:rPr>
        <w:t>w</w:t>
      </w:r>
      <w:r w:rsidRPr="00D62847">
        <w:rPr>
          <w:i/>
          <w:lang w:val="en-US"/>
        </w:rPr>
        <w:t>inzes</w:t>
      </w:r>
      <w:r w:rsidR="00FF48EF">
        <w:rPr>
          <w:lang w:val="en-US"/>
        </w:rPr>
        <w:t xml:space="preserve"> (if connected only between</w:t>
      </w:r>
      <w:r>
        <w:rPr>
          <w:lang w:val="en-US"/>
        </w:rPr>
        <w:t xml:space="preserve"> underground levels); Horizontal tunnels are called </w:t>
      </w:r>
      <w:r w:rsidR="00176548">
        <w:rPr>
          <w:i/>
          <w:lang w:val="en-US"/>
        </w:rPr>
        <w:t>d</w:t>
      </w:r>
      <w:r w:rsidRPr="00D62847">
        <w:rPr>
          <w:i/>
          <w:lang w:val="en-US"/>
        </w:rPr>
        <w:t>rifts</w:t>
      </w:r>
      <w:r>
        <w:rPr>
          <w:lang w:val="en-US"/>
        </w:rPr>
        <w:t xml:space="preserve"> (if parallel to the rock fabric) and or </w:t>
      </w:r>
      <w:r w:rsidR="00176548">
        <w:rPr>
          <w:i/>
          <w:lang w:val="en-US"/>
        </w:rPr>
        <w:t>cross-c</w:t>
      </w:r>
      <w:r w:rsidRPr="00D62847">
        <w:rPr>
          <w:i/>
          <w:lang w:val="en-US"/>
        </w:rPr>
        <w:t>uts</w:t>
      </w:r>
      <w:r w:rsidR="005B51F0">
        <w:rPr>
          <w:lang w:val="en-US"/>
        </w:rPr>
        <w:t xml:space="preserve">. </w:t>
      </w:r>
      <w:r w:rsidR="005B51F0" w:rsidRPr="005B51F0">
        <w:rPr>
          <w:i/>
          <w:lang w:val="en-US"/>
        </w:rPr>
        <w:t>Stopes</w:t>
      </w:r>
      <w:r w:rsidR="005B51F0">
        <w:rPr>
          <w:lang w:val="en-US"/>
        </w:rPr>
        <w:t xml:space="preserve"> are mined-out ore bodies and are usually refilled with waste rock in order to stabilize</w:t>
      </w:r>
      <w:r w:rsidR="00180025">
        <w:rPr>
          <w:lang w:val="en-US"/>
        </w:rPr>
        <w:t xml:space="preserve"> the mine structure. In </w:t>
      </w:r>
      <w:r w:rsidR="00180025" w:rsidRPr="0062579D">
        <w:rPr>
          <w:i/>
          <w:lang w:val="en-US"/>
        </w:rPr>
        <w:t>figure 8</w:t>
      </w:r>
      <w:r w:rsidR="005B51F0">
        <w:rPr>
          <w:lang w:val="en-US"/>
        </w:rPr>
        <w:t xml:space="preserve"> a cross section of the upper levels</w:t>
      </w:r>
      <w:r w:rsidR="0062579D">
        <w:rPr>
          <w:lang w:val="en-US"/>
        </w:rPr>
        <w:t xml:space="preserve"> of the Homestake mine is shown</w:t>
      </w:r>
      <w:r w:rsidR="005B51F0">
        <w:rPr>
          <w:lang w:val="en-US"/>
        </w:rPr>
        <w:t>.</w:t>
      </w:r>
    </w:p>
    <w:p w:rsidR="00B84A34" w:rsidRDefault="00B84A34" w:rsidP="00B84A34">
      <w:pPr>
        <w:keepNext/>
        <w:jc w:val="both"/>
      </w:pPr>
      <w:r w:rsidRPr="00B84A34">
        <w:rPr>
          <w:noProof/>
          <w:lang w:eastAsia="it-IT"/>
        </w:rPr>
        <w:drawing>
          <wp:inline distT="0" distB="0" distL="0" distR="0">
            <wp:extent cx="6120130" cy="2622244"/>
            <wp:effectExtent l="19050" t="0" r="0" b="0"/>
            <wp:docPr id="7" name="Immagine 1"/>
            <wp:cNvGraphicFramePr/>
            <a:graphic xmlns:a="http://schemas.openxmlformats.org/drawingml/2006/main">
              <a:graphicData uri="http://schemas.openxmlformats.org/drawingml/2006/picture">
                <pic:pic xmlns:pic="http://schemas.openxmlformats.org/drawingml/2006/picture">
                  <pic:nvPicPr>
                    <pic:cNvPr id="36870" name="Picture 2"/>
                    <pic:cNvPicPr>
                      <a:picLocks noChangeAspect="1" noChangeArrowheads="1"/>
                    </pic:cNvPicPr>
                  </pic:nvPicPr>
                  <pic:blipFill>
                    <a:blip r:embed="rId14"/>
                    <a:srcRect/>
                    <a:stretch>
                      <a:fillRect/>
                    </a:stretch>
                  </pic:blipFill>
                  <pic:spPr bwMode="auto">
                    <a:xfrm>
                      <a:off x="0" y="0"/>
                      <a:ext cx="6120130" cy="2622244"/>
                    </a:xfrm>
                    <a:prstGeom prst="rect">
                      <a:avLst/>
                    </a:prstGeom>
                    <a:noFill/>
                    <a:ln w="9525">
                      <a:noFill/>
                      <a:miter lim="800000"/>
                      <a:headEnd/>
                      <a:tailEnd/>
                    </a:ln>
                  </pic:spPr>
                </pic:pic>
              </a:graphicData>
            </a:graphic>
          </wp:inline>
        </w:drawing>
      </w:r>
    </w:p>
    <w:p w:rsidR="00B84A34" w:rsidRPr="004F197A" w:rsidRDefault="00B84A34" w:rsidP="00B84A34">
      <w:pPr>
        <w:pStyle w:val="Didascalia"/>
        <w:jc w:val="both"/>
        <w:rPr>
          <w:color w:val="1F497D" w:themeColor="text2"/>
          <w:lang w:val="en-US"/>
        </w:rPr>
      </w:pPr>
      <w:r w:rsidRPr="004F197A">
        <w:rPr>
          <w:color w:val="1F497D" w:themeColor="text2"/>
          <w:lang w:val="en-US"/>
        </w:rPr>
        <w:t xml:space="preserve">Figure </w:t>
      </w:r>
      <w:r w:rsidR="009B29F4" w:rsidRPr="004F197A">
        <w:rPr>
          <w:color w:val="1F497D" w:themeColor="text2"/>
          <w:lang w:val="en-US"/>
        </w:rPr>
        <w:fldChar w:fldCharType="begin"/>
      </w:r>
      <w:r w:rsidRPr="004F197A">
        <w:rPr>
          <w:color w:val="1F497D" w:themeColor="text2"/>
          <w:lang w:val="en-US"/>
        </w:rPr>
        <w:instrText xml:space="preserve"> SEQ Figure \* ARABIC </w:instrText>
      </w:r>
      <w:r w:rsidR="009B29F4" w:rsidRPr="004F197A">
        <w:rPr>
          <w:color w:val="1F497D" w:themeColor="text2"/>
          <w:lang w:val="en-US"/>
        </w:rPr>
        <w:fldChar w:fldCharType="separate"/>
      </w:r>
      <w:r w:rsidR="00156B1D">
        <w:rPr>
          <w:noProof/>
          <w:color w:val="1F497D" w:themeColor="text2"/>
          <w:lang w:val="en-US"/>
        </w:rPr>
        <w:t>8</w:t>
      </w:r>
      <w:r w:rsidR="009B29F4" w:rsidRPr="004F197A">
        <w:rPr>
          <w:color w:val="1F497D" w:themeColor="text2"/>
          <w:lang w:val="en-US"/>
        </w:rPr>
        <w:fldChar w:fldCharType="end"/>
      </w:r>
      <w:r w:rsidRPr="004F197A">
        <w:rPr>
          <w:color w:val="1F497D" w:themeColor="text2"/>
          <w:lang w:val="en-US"/>
        </w:rPr>
        <w:t>: cross section of the upper levels of the Homestak</w:t>
      </w:r>
      <w:r w:rsidR="008961F4" w:rsidRPr="004F197A">
        <w:rPr>
          <w:color w:val="1F497D" w:themeColor="text2"/>
          <w:lang w:val="en-US"/>
        </w:rPr>
        <w:t xml:space="preserve">e mine onto a vertical plane whose normal is oriented </w:t>
      </w:r>
      <w:r w:rsidR="004F197A" w:rsidRPr="004F197A">
        <w:rPr>
          <w:color w:val="1F497D" w:themeColor="text2"/>
          <w:lang w:val="en-US"/>
        </w:rPr>
        <w:t>towards the North-East direction</w:t>
      </w:r>
      <w:sdt>
        <w:sdtPr>
          <w:rPr>
            <w:color w:val="1F497D" w:themeColor="text2"/>
            <w:lang w:val="en-US"/>
          </w:rPr>
          <w:id w:val="5660507"/>
          <w:citation/>
        </w:sdtPr>
        <w:sdtEndPr>
          <w:rPr>
            <w:vertAlign w:val="superscript"/>
          </w:rPr>
        </w:sdtEndPr>
        <w:sdtContent>
          <w:r w:rsidR="009B29F4" w:rsidRPr="004F197A">
            <w:rPr>
              <w:color w:val="1F497D" w:themeColor="text2"/>
              <w:vertAlign w:val="superscript"/>
              <w:lang w:val="en-US"/>
            </w:rPr>
            <w:fldChar w:fldCharType="begin"/>
          </w:r>
          <w:r w:rsidR="004F197A" w:rsidRPr="004F197A">
            <w:rPr>
              <w:color w:val="1F497D" w:themeColor="text2"/>
              <w:vertAlign w:val="superscript"/>
              <w:lang w:val="en-US"/>
            </w:rPr>
            <w:instrText xml:space="preserve"> CITATION JHa09 \l 1040 </w:instrText>
          </w:r>
          <w:r w:rsidR="009B29F4" w:rsidRPr="004F197A">
            <w:rPr>
              <w:color w:val="1F497D" w:themeColor="text2"/>
              <w:vertAlign w:val="superscript"/>
              <w:lang w:val="en-US"/>
            </w:rPr>
            <w:fldChar w:fldCharType="separate"/>
          </w:r>
          <w:r w:rsidR="00EB71AC">
            <w:rPr>
              <w:noProof/>
              <w:color w:val="1F497D" w:themeColor="text2"/>
              <w:vertAlign w:val="superscript"/>
              <w:lang w:val="en-US"/>
            </w:rPr>
            <w:t xml:space="preserve"> </w:t>
          </w:r>
          <w:r w:rsidR="00EB71AC" w:rsidRPr="00EB71AC">
            <w:rPr>
              <w:noProof/>
              <w:color w:val="1F497D" w:themeColor="text2"/>
              <w:vertAlign w:val="superscript"/>
              <w:lang w:val="en-US"/>
            </w:rPr>
            <w:t>(2)</w:t>
          </w:r>
          <w:r w:rsidR="009B29F4" w:rsidRPr="004F197A">
            <w:rPr>
              <w:color w:val="1F497D" w:themeColor="text2"/>
              <w:vertAlign w:val="superscript"/>
              <w:lang w:val="en-US"/>
            </w:rPr>
            <w:fldChar w:fldCharType="end"/>
          </w:r>
        </w:sdtContent>
      </w:sdt>
    </w:p>
    <w:p w:rsidR="009F349F" w:rsidRDefault="00AD4A16" w:rsidP="00AD4A16">
      <w:pPr>
        <w:jc w:val="both"/>
        <w:rPr>
          <w:lang w:val="en-US"/>
        </w:rPr>
      </w:pPr>
      <w:r w:rsidRPr="004B0AB7">
        <w:rPr>
          <w:lang w:val="en-US"/>
        </w:rPr>
        <w:t>On July 2009 the deepest accessible</w:t>
      </w:r>
      <w:r>
        <w:rPr>
          <w:lang w:val="en-US"/>
        </w:rPr>
        <w:t xml:space="preserve"> level was the</w:t>
      </w:r>
      <w:r w:rsidRPr="004B0AB7">
        <w:rPr>
          <w:lang w:val="en-US"/>
        </w:rPr>
        <w:t xml:space="preserve"> 4850 ft </w:t>
      </w:r>
      <w:r w:rsidR="00180025">
        <w:rPr>
          <w:lang w:val="en-US"/>
        </w:rPr>
        <w:t>(1470 m)</w:t>
      </w:r>
      <w:r w:rsidR="00FF48EF">
        <w:rPr>
          <w:lang w:val="en-US"/>
        </w:rPr>
        <w:t>. W</w:t>
      </w:r>
      <w:r>
        <w:rPr>
          <w:lang w:val="en-US"/>
        </w:rPr>
        <w:t>e were able to build the deepest stations at the 41</w:t>
      </w:r>
      <w:r w:rsidR="00176548">
        <w:rPr>
          <w:lang w:val="en-US"/>
        </w:rPr>
        <w:t>00 ft (1250 m) level. The only s</w:t>
      </w:r>
      <w:r>
        <w:rPr>
          <w:lang w:val="en-US"/>
        </w:rPr>
        <w:t xml:space="preserve">haft currently available to </w:t>
      </w:r>
      <w:r w:rsidR="00FF48EF">
        <w:rPr>
          <w:lang w:val="en-US"/>
        </w:rPr>
        <w:t>access</w:t>
      </w:r>
      <w:r>
        <w:rPr>
          <w:lang w:val="en-US"/>
        </w:rPr>
        <w:t xml:space="preserve"> </w:t>
      </w:r>
      <w:r w:rsidR="00FF48EF">
        <w:rPr>
          <w:lang w:val="en-US"/>
        </w:rPr>
        <w:t xml:space="preserve">the </w:t>
      </w:r>
      <w:r>
        <w:rPr>
          <w:lang w:val="en-US"/>
        </w:rPr>
        <w:t>underground</w:t>
      </w:r>
      <w:r w:rsidR="00FF48EF">
        <w:rPr>
          <w:lang w:val="en-US"/>
        </w:rPr>
        <w:t xml:space="preserve"> levels</w:t>
      </w:r>
      <w:r>
        <w:rPr>
          <w:lang w:val="en-US"/>
        </w:rPr>
        <w:t xml:space="preserve"> is the “Ross”; the reactivation of the “Yates” is </w:t>
      </w:r>
      <w:r w:rsidR="00FF48EF">
        <w:rPr>
          <w:lang w:val="en-US"/>
        </w:rPr>
        <w:t>ongoing,</w:t>
      </w:r>
      <w:r>
        <w:rPr>
          <w:lang w:val="en-US"/>
        </w:rPr>
        <w:t xml:space="preserve"> exchanging the partially wooden support structure </w:t>
      </w:r>
      <w:r w:rsidR="00FF48EF">
        <w:rPr>
          <w:lang w:val="en-US"/>
        </w:rPr>
        <w:t>with</w:t>
      </w:r>
      <w:r>
        <w:rPr>
          <w:lang w:val="en-US"/>
        </w:rPr>
        <w:t xml:space="preserve"> a metal structure.</w:t>
      </w:r>
      <w:r w:rsidR="009B29F4">
        <w:rPr>
          <w:noProof/>
        </w:rPr>
        <w:pict>
          <v:shape id="_x0000_s1029" type="#_x0000_t202" style="position:absolute;left:0;text-align:left;margin-left:1.2pt;margin-top:192.95pt;width:253.5pt;height:.05pt;z-index:251667456;mso-position-horizontal-relative:text;mso-position-vertical-relative:text" stroked="f">
            <v:textbox style="mso-next-textbox:#_x0000_s1029;mso-fit-shape-to-text:t" inset="0,0,0,0">
              <w:txbxContent>
                <w:p w:rsidR="003A4FB4" w:rsidRPr="00C742A2" w:rsidRDefault="003A4FB4" w:rsidP="00180025">
                  <w:pPr>
                    <w:pStyle w:val="Didascalia"/>
                    <w:rPr>
                      <w:lang w:val="en-US"/>
                    </w:rPr>
                  </w:pPr>
                  <w:r w:rsidRPr="00180025">
                    <w:rPr>
                      <w:color w:val="1F497D" w:themeColor="text2"/>
                      <w:lang w:val="en-US"/>
                    </w:rPr>
                    <w:t xml:space="preserve">Figure </w:t>
                  </w:r>
                  <w:r w:rsidR="009B29F4" w:rsidRPr="00180025">
                    <w:rPr>
                      <w:color w:val="1F497D" w:themeColor="text2"/>
                    </w:rPr>
                    <w:fldChar w:fldCharType="begin"/>
                  </w:r>
                  <w:r w:rsidRPr="00180025">
                    <w:rPr>
                      <w:color w:val="1F497D" w:themeColor="text2"/>
                      <w:lang w:val="en-US"/>
                    </w:rPr>
                    <w:instrText xml:space="preserve"> SEQ Figure \* ARABIC </w:instrText>
                  </w:r>
                  <w:r w:rsidR="009B29F4" w:rsidRPr="00180025">
                    <w:rPr>
                      <w:color w:val="1F497D" w:themeColor="text2"/>
                    </w:rPr>
                    <w:fldChar w:fldCharType="separate"/>
                  </w:r>
                  <w:r w:rsidR="00156B1D">
                    <w:rPr>
                      <w:noProof/>
                      <w:color w:val="1F497D" w:themeColor="text2"/>
                      <w:lang w:val="en-US"/>
                    </w:rPr>
                    <w:t>9</w:t>
                  </w:r>
                  <w:r w:rsidR="009B29F4" w:rsidRPr="00180025">
                    <w:rPr>
                      <w:color w:val="1F497D" w:themeColor="text2"/>
                    </w:rPr>
                    <w:fldChar w:fldCharType="end"/>
                  </w:r>
                  <w:r w:rsidRPr="00180025">
                    <w:rPr>
                      <w:color w:val="1F497D" w:themeColor="text2"/>
                      <w:lang w:val="en-US"/>
                    </w:rPr>
                    <w:t xml:space="preserve">: </w:t>
                  </w:r>
                  <w:r>
                    <w:rPr>
                      <w:color w:val="1F497D" w:themeColor="text2"/>
                      <w:lang w:val="en-US"/>
                    </w:rPr>
                    <w:t>Sketch of d</w:t>
                  </w:r>
                  <w:r w:rsidRPr="00180025">
                    <w:rPr>
                      <w:color w:val="1F497D" w:themeColor="text2"/>
                      <w:lang w:val="en-US"/>
                    </w:rPr>
                    <w:t>evelopment of</w:t>
                  </w:r>
                  <w:r>
                    <w:rPr>
                      <w:color w:val="1F497D" w:themeColor="text2"/>
                      <w:lang w:val="en-US"/>
                    </w:rPr>
                    <w:t xml:space="preserve"> all</w:t>
                  </w:r>
                  <w:r w:rsidRPr="00180025">
                    <w:rPr>
                      <w:color w:val="1F497D" w:themeColor="text2"/>
                      <w:lang w:val="en-US"/>
                    </w:rPr>
                    <w:t xml:space="preserve"> Homestake underground levels</w:t>
                  </w:r>
                  <w:sdt>
                    <w:sdtPr>
                      <w:rPr>
                        <w:color w:val="1F497D" w:themeColor="text2"/>
                        <w:lang w:val="en-US"/>
                      </w:rPr>
                      <w:id w:val="5941677"/>
                      <w:citation/>
                    </w:sdtPr>
                    <w:sdtEndPr>
                      <w:rPr>
                        <w:color w:val="4F81BD" w:themeColor="accent1"/>
                        <w:vertAlign w:val="superscript"/>
                      </w:rPr>
                    </w:sdtEndPr>
                    <w:sdtContent>
                      <w:r w:rsidR="009B29F4">
                        <w:rPr>
                          <w:color w:val="1F497D" w:themeColor="text2"/>
                          <w:vertAlign w:val="superscript"/>
                          <w:lang w:val="en-US"/>
                        </w:rPr>
                        <w:fldChar w:fldCharType="begin"/>
                      </w:r>
                      <w:r w:rsidRPr="007C4548">
                        <w:rPr>
                          <w:color w:val="1F497D" w:themeColor="text2"/>
                          <w:vertAlign w:val="superscript"/>
                          <w:lang w:val="en-US"/>
                        </w:rPr>
                        <w:instrText xml:space="preserve"> CITATION Cam \l 1040  </w:instrText>
                      </w:r>
                      <w:r w:rsidR="009B29F4">
                        <w:rPr>
                          <w:color w:val="1F497D" w:themeColor="text2"/>
                          <w:vertAlign w:val="superscript"/>
                          <w:lang w:val="en-US"/>
                        </w:rPr>
                        <w:fldChar w:fldCharType="separate"/>
                      </w:r>
                      <w:r>
                        <w:rPr>
                          <w:noProof/>
                          <w:color w:val="1F497D" w:themeColor="text2"/>
                          <w:vertAlign w:val="superscript"/>
                          <w:lang w:val="en-US"/>
                        </w:rPr>
                        <w:t xml:space="preserve"> </w:t>
                      </w:r>
                      <w:r w:rsidRPr="00EB71AC">
                        <w:rPr>
                          <w:noProof/>
                          <w:color w:val="1F497D" w:themeColor="text2"/>
                          <w:vertAlign w:val="superscript"/>
                          <w:lang w:val="en-US"/>
                        </w:rPr>
                        <w:t>(3)</w:t>
                      </w:r>
                      <w:r w:rsidR="009B29F4">
                        <w:rPr>
                          <w:color w:val="1F497D" w:themeColor="text2"/>
                          <w:vertAlign w:val="superscript"/>
                          <w:lang w:val="en-US"/>
                        </w:rPr>
                        <w:fldChar w:fldCharType="end"/>
                      </w:r>
                    </w:sdtContent>
                  </w:sdt>
                </w:p>
              </w:txbxContent>
            </v:textbox>
            <w10:wrap type="square"/>
          </v:shape>
        </w:pict>
      </w:r>
      <w:r w:rsidR="009F349F">
        <w:rPr>
          <w:noProof/>
          <w:lang w:eastAsia="it-IT"/>
        </w:rPr>
        <w:drawing>
          <wp:anchor distT="0" distB="0" distL="114300" distR="114300" simplePos="0" relativeHeight="251658240" behindDoc="0" locked="0" layoutInCell="1" allowOverlap="1">
            <wp:simplePos x="0" y="0"/>
            <wp:positionH relativeFrom="column">
              <wp:posOffset>15240</wp:posOffset>
            </wp:positionH>
            <wp:positionV relativeFrom="paragraph">
              <wp:posOffset>635</wp:posOffset>
            </wp:positionV>
            <wp:extent cx="3219450" cy="2392680"/>
            <wp:effectExtent l="19050" t="0" r="0" b="0"/>
            <wp:wrapSquare wrapText="bothSides"/>
            <wp:docPr id="8" name="Immagine 1" descr="C:\Documents and Settings\pc\Desktop\seminario_e_paper_homestake\catoon-homestak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c\Desktop\seminario_e_paper_homestake\catoon-homestake2.jpg"/>
                    <pic:cNvPicPr>
                      <a:picLocks noChangeAspect="1" noChangeArrowheads="1"/>
                    </pic:cNvPicPr>
                  </pic:nvPicPr>
                  <pic:blipFill>
                    <a:blip r:embed="rId15"/>
                    <a:srcRect/>
                    <a:stretch>
                      <a:fillRect/>
                    </a:stretch>
                  </pic:blipFill>
                  <pic:spPr bwMode="auto">
                    <a:xfrm>
                      <a:off x="0" y="0"/>
                      <a:ext cx="3219450" cy="2392680"/>
                    </a:xfrm>
                    <a:prstGeom prst="rect">
                      <a:avLst/>
                    </a:prstGeom>
                    <a:noFill/>
                    <a:ln w="9525">
                      <a:noFill/>
                      <a:miter lim="800000"/>
                      <a:headEnd/>
                      <a:tailEnd/>
                    </a:ln>
                  </pic:spPr>
                </pic:pic>
              </a:graphicData>
            </a:graphic>
          </wp:anchor>
        </w:drawing>
      </w:r>
      <w:r>
        <w:rPr>
          <w:lang w:val="en-US"/>
        </w:rPr>
        <w:t xml:space="preserve"> </w:t>
      </w:r>
      <w:r w:rsidR="005625AE">
        <w:rPr>
          <w:lang w:val="en-US"/>
        </w:rPr>
        <w:t xml:space="preserve">A </w:t>
      </w:r>
      <w:r w:rsidR="005625AE" w:rsidRPr="005625AE">
        <w:rPr>
          <w:i/>
          <w:lang w:val="en-US"/>
        </w:rPr>
        <w:t>cage</w:t>
      </w:r>
      <w:r w:rsidR="005625AE">
        <w:rPr>
          <w:lang w:val="en-US"/>
        </w:rPr>
        <w:t xml:space="preserve"> (</w:t>
      </w:r>
      <w:r w:rsidR="0062579D" w:rsidRPr="0062579D">
        <w:rPr>
          <w:i/>
          <w:lang w:val="en-US"/>
        </w:rPr>
        <w:t>figure 11</w:t>
      </w:r>
      <w:r w:rsidR="005625AE">
        <w:rPr>
          <w:lang w:val="en-US"/>
        </w:rPr>
        <w:t xml:space="preserve">) grants the link between the </w:t>
      </w:r>
      <w:r w:rsidR="00176548">
        <w:rPr>
          <w:lang w:val="en-US"/>
        </w:rPr>
        <w:t>underground levels through the s</w:t>
      </w:r>
      <w:r w:rsidR="005625AE">
        <w:rPr>
          <w:lang w:val="en-US"/>
        </w:rPr>
        <w:t xml:space="preserve">hafts. </w:t>
      </w:r>
      <w:r w:rsidR="009F349F" w:rsidRPr="009F349F">
        <w:rPr>
          <w:lang w:val="en-US"/>
        </w:rPr>
        <w:t>The 5400 ft (1646 m) level correspond to the sea level.</w:t>
      </w:r>
    </w:p>
    <w:p w:rsidR="00180025" w:rsidRDefault="00180025" w:rsidP="00180025">
      <w:pPr>
        <w:jc w:val="both"/>
        <w:rPr>
          <w:lang w:val="en-US"/>
        </w:rPr>
      </w:pPr>
    </w:p>
    <w:p w:rsidR="005625AE" w:rsidRDefault="005625AE" w:rsidP="00180025">
      <w:pPr>
        <w:jc w:val="both"/>
        <w:rPr>
          <w:lang w:val="en-US"/>
        </w:rPr>
      </w:pPr>
    </w:p>
    <w:p w:rsidR="009F349F" w:rsidRPr="009F349F" w:rsidRDefault="00AD4A16" w:rsidP="00180025">
      <w:pPr>
        <w:jc w:val="both"/>
        <w:rPr>
          <w:lang w:val="en-US"/>
        </w:rPr>
      </w:pPr>
      <w:r>
        <w:rPr>
          <w:lang w:val="en-US"/>
        </w:rPr>
        <w:t>SDSTA is providing power and network connections in the accessible underground levels up to some electric boxes.</w:t>
      </w:r>
      <w:r w:rsidR="00180025">
        <w:rPr>
          <w:lang w:val="en-US"/>
        </w:rPr>
        <w:t xml:space="preserve"> </w:t>
      </w:r>
      <w:r>
        <w:rPr>
          <w:lang w:val="en-US"/>
        </w:rPr>
        <w:t>The ma</w:t>
      </w:r>
      <w:r w:rsidR="00533E51">
        <w:rPr>
          <w:lang w:val="en-US"/>
        </w:rPr>
        <w:t>in office building is situated</w:t>
      </w:r>
      <w:r w:rsidR="00176548">
        <w:rPr>
          <w:lang w:val="en-US"/>
        </w:rPr>
        <w:t xml:space="preserve"> next to the Yates s</w:t>
      </w:r>
      <w:r>
        <w:rPr>
          <w:lang w:val="en-US"/>
        </w:rPr>
        <w:t xml:space="preserve">haft, </w:t>
      </w:r>
      <w:r w:rsidR="00D62B5A" w:rsidRPr="00D62B5A">
        <w:rPr>
          <w:lang w:val="en-US"/>
        </w:rPr>
        <w:t>a bus provided by SDSTA transports people from the Yates building to the Ross shaft</w:t>
      </w:r>
      <w:r w:rsidR="00D62B5A">
        <w:rPr>
          <w:lang w:val="en-US"/>
        </w:rPr>
        <w:t xml:space="preserve"> </w:t>
      </w:r>
      <w:r>
        <w:rPr>
          <w:lang w:val="en-US"/>
        </w:rPr>
        <w:t>for the underground scientific activities.</w:t>
      </w:r>
    </w:p>
    <w:p w:rsidR="009F349F" w:rsidRDefault="009F349F" w:rsidP="00533E51">
      <w:pPr>
        <w:jc w:val="center"/>
        <w:rPr>
          <w:lang w:val="en-US"/>
        </w:rPr>
      </w:pPr>
    </w:p>
    <w:p w:rsidR="005625AE" w:rsidRDefault="005625AE" w:rsidP="000B4B36">
      <w:pPr>
        <w:jc w:val="both"/>
        <w:rPr>
          <w:lang w:val="en-US"/>
        </w:rPr>
      </w:pPr>
    </w:p>
    <w:p w:rsidR="00B470FF" w:rsidRPr="00180025" w:rsidRDefault="00180025" w:rsidP="000B4B36">
      <w:pPr>
        <w:jc w:val="both"/>
        <w:rPr>
          <w:b/>
          <w:sz w:val="28"/>
          <w:szCs w:val="28"/>
          <w:lang w:val="en-US"/>
        </w:rPr>
      </w:pPr>
      <w:r w:rsidRPr="00180025">
        <w:rPr>
          <w:b/>
          <w:sz w:val="28"/>
          <w:szCs w:val="28"/>
          <w:lang w:val="en-US"/>
        </w:rPr>
        <w:lastRenderedPageBreak/>
        <w:t>IV. W</w:t>
      </w:r>
      <w:r w:rsidR="00B470FF" w:rsidRPr="00180025">
        <w:rPr>
          <w:b/>
          <w:sz w:val="28"/>
          <w:szCs w:val="28"/>
          <w:lang w:val="en-US"/>
        </w:rPr>
        <w:t>ork</w:t>
      </w:r>
      <w:r w:rsidR="00DC230A" w:rsidRPr="00180025">
        <w:rPr>
          <w:b/>
          <w:sz w:val="28"/>
          <w:szCs w:val="28"/>
          <w:lang w:val="en-US"/>
        </w:rPr>
        <w:t>ing</w:t>
      </w:r>
      <w:r w:rsidRPr="00180025">
        <w:rPr>
          <w:b/>
          <w:sz w:val="28"/>
          <w:szCs w:val="28"/>
          <w:lang w:val="en-US"/>
        </w:rPr>
        <w:t xml:space="preserve"> conditions and s</w:t>
      </w:r>
      <w:r w:rsidR="00B470FF" w:rsidRPr="00180025">
        <w:rPr>
          <w:b/>
          <w:sz w:val="28"/>
          <w:szCs w:val="28"/>
          <w:lang w:val="en-US"/>
        </w:rPr>
        <w:t>afety rules</w:t>
      </w:r>
    </w:p>
    <w:p w:rsidR="0062579D" w:rsidRDefault="001D75F8" w:rsidP="000B4B36">
      <w:pPr>
        <w:jc w:val="both"/>
        <w:rPr>
          <w:lang w:val="en-US"/>
        </w:rPr>
      </w:pPr>
      <w:r>
        <w:rPr>
          <w:noProof/>
          <w:lang w:eastAsia="it-IT"/>
        </w:rPr>
        <w:drawing>
          <wp:anchor distT="0" distB="0" distL="114300" distR="114300" simplePos="0" relativeHeight="251670528" behindDoc="0" locked="0" layoutInCell="1" allowOverlap="1">
            <wp:simplePos x="0" y="0"/>
            <wp:positionH relativeFrom="column">
              <wp:posOffset>-30480</wp:posOffset>
            </wp:positionH>
            <wp:positionV relativeFrom="paragraph">
              <wp:posOffset>33655</wp:posOffset>
            </wp:positionV>
            <wp:extent cx="3425190" cy="2559050"/>
            <wp:effectExtent l="19050" t="0" r="3810" b="0"/>
            <wp:wrapSquare wrapText="bothSides"/>
            <wp:docPr id="13" name="Immagine 3" descr="C:\FOTOBACKUP\DUGL Pics\IMG_2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OBACKUP\DUGL Pics\IMG_2704.JPG"/>
                    <pic:cNvPicPr>
                      <a:picLocks noChangeAspect="1" noChangeArrowheads="1"/>
                    </pic:cNvPicPr>
                  </pic:nvPicPr>
                  <pic:blipFill>
                    <a:blip r:embed="rId16" cstate="print"/>
                    <a:srcRect/>
                    <a:stretch>
                      <a:fillRect/>
                    </a:stretch>
                  </pic:blipFill>
                  <pic:spPr bwMode="auto">
                    <a:xfrm>
                      <a:off x="0" y="0"/>
                      <a:ext cx="3425190" cy="2559050"/>
                    </a:xfrm>
                    <a:prstGeom prst="rect">
                      <a:avLst/>
                    </a:prstGeom>
                    <a:noFill/>
                    <a:ln w="9525">
                      <a:noFill/>
                      <a:miter lim="800000"/>
                      <a:headEnd/>
                      <a:tailEnd/>
                    </a:ln>
                  </pic:spPr>
                </pic:pic>
              </a:graphicData>
            </a:graphic>
          </wp:anchor>
        </w:drawing>
      </w:r>
      <w:r w:rsidR="009B29F4">
        <w:rPr>
          <w:noProof/>
        </w:rPr>
        <w:pict>
          <v:shape id="_x0000_s1032" type="#_x0000_t202" style="position:absolute;left:0;text-align:left;margin-left:-2.45pt;margin-top:211.8pt;width:294.2pt;height:31.95pt;z-index:251673600;mso-position-horizontal-relative:text;mso-position-vertical-relative:text" stroked="f">
            <v:textbox style="mso-next-textbox:#_x0000_s1032;mso-fit-shape-to-text:t" inset="0,0,0,0">
              <w:txbxContent>
                <w:p w:rsidR="003A4FB4" w:rsidRPr="0062579D" w:rsidRDefault="003A4FB4" w:rsidP="0062579D">
                  <w:pPr>
                    <w:pStyle w:val="Didascalia"/>
                    <w:rPr>
                      <w:noProof/>
                      <w:color w:val="1F497D" w:themeColor="text2"/>
                      <w:lang w:val="en-US"/>
                    </w:rPr>
                  </w:pPr>
                  <w:r w:rsidRPr="0062579D">
                    <w:rPr>
                      <w:color w:val="1F497D" w:themeColor="text2"/>
                      <w:lang w:val="en-US"/>
                    </w:rPr>
                    <w:t xml:space="preserve">Figure </w:t>
                  </w:r>
                  <w:r w:rsidR="009B29F4" w:rsidRPr="0062579D">
                    <w:rPr>
                      <w:color w:val="1F497D" w:themeColor="text2"/>
                    </w:rPr>
                    <w:fldChar w:fldCharType="begin"/>
                  </w:r>
                  <w:r w:rsidRPr="0062579D">
                    <w:rPr>
                      <w:color w:val="1F497D" w:themeColor="text2"/>
                      <w:lang w:val="en-US"/>
                    </w:rPr>
                    <w:instrText xml:space="preserve"> SEQ Figure \* ARABIC </w:instrText>
                  </w:r>
                  <w:r w:rsidR="009B29F4" w:rsidRPr="0062579D">
                    <w:rPr>
                      <w:color w:val="1F497D" w:themeColor="text2"/>
                    </w:rPr>
                    <w:fldChar w:fldCharType="separate"/>
                  </w:r>
                  <w:r w:rsidR="00156B1D">
                    <w:rPr>
                      <w:noProof/>
                      <w:color w:val="1F497D" w:themeColor="text2"/>
                      <w:lang w:val="en-US"/>
                    </w:rPr>
                    <w:t>10</w:t>
                  </w:r>
                  <w:r w:rsidR="009B29F4" w:rsidRPr="0062579D">
                    <w:rPr>
                      <w:color w:val="1F497D" w:themeColor="text2"/>
                    </w:rPr>
                    <w:fldChar w:fldCharType="end"/>
                  </w:r>
                  <w:r>
                    <w:rPr>
                      <w:color w:val="1F497D" w:themeColor="text2"/>
                      <w:lang w:val="en-US"/>
                    </w:rPr>
                    <w:t>: Scienti</w:t>
                  </w:r>
                  <w:r w:rsidRPr="0062579D">
                    <w:rPr>
                      <w:color w:val="1F497D" w:themeColor="text2"/>
                      <w:lang w:val="en-US"/>
                    </w:rPr>
                    <w:t>s</w:t>
                  </w:r>
                  <w:r>
                    <w:rPr>
                      <w:color w:val="1F497D" w:themeColor="text2"/>
                      <w:lang w:val="en-US"/>
                    </w:rPr>
                    <w:t>ts</w:t>
                  </w:r>
                  <w:r w:rsidRPr="0062579D">
                    <w:rPr>
                      <w:color w:val="1F497D" w:themeColor="text2"/>
                      <w:lang w:val="en-US"/>
                    </w:rPr>
                    <w:t xml:space="preserve"> preparing to go </w:t>
                  </w:r>
                  <w:r>
                    <w:rPr>
                      <w:color w:val="1F497D" w:themeColor="text2"/>
                      <w:lang w:val="en-US"/>
                    </w:rPr>
                    <w:t xml:space="preserve">to Ross Shaft with their safety </w:t>
                  </w:r>
                  <w:r w:rsidRPr="0062579D">
                    <w:rPr>
                      <w:color w:val="1F497D" w:themeColor="text2"/>
                      <w:lang w:val="en-US"/>
                    </w:rPr>
                    <w:t>equipment</w:t>
                  </w:r>
                </w:p>
              </w:txbxContent>
            </v:textbox>
            <w10:wrap type="square"/>
          </v:shape>
        </w:pict>
      </w:r>
      <w:r w:rsidR="007F3604">
        <w:rPr>
          <w:lang w:val="en-US"/>
        </w:rPr>
        <w:t xml:space="preserve">Safety rules are an important part of the work at Homestake. </w:t>
      </w:r>
      <w:r w:rsidR="007F3604" w:rsidRPr="007F3604">
        <w:rPr>
          <w:lang w:val="en-US"/>
        </w:rPr>
        <w:t>Scientists who plan to work underground in the Sanford Lab</w:t>
      </w:r>
      <w:r w:rsidR="007F3604">
        <w:rPr>
          <w:lang w:val="en-US"/>
        </w:rPr>
        <w:t>oratory</w:t>
      </w:r>
      <w:r w:rsidR="007F3604" w:rsidRPr="007F3604">
        <w:rPr>
          <w:lang w:val="en-US"/>
        </w:rPr>
        <w:t xml:space="preserve"> have to attend a safety class and a specific training. </w:t>
      </w:r>
      <w:r w:rsidR="007F3604">
        <w:rPr>
          <w:lang w:val="en-US"/>
        </w:rPr>
        <w:t>Although b</w:t>
      </w:r>
      <w:r w:rsidR="007F3604" w:rsidRPr="007F3604">
        <w:rPr>
          <w:lang w:val="en-US"/>
        </w:rPr>
        <w:t>efore being acces</w:t>
      </w:r>
      <w:r w:rsidR="007F3604">
        <w:rPr>
          <w:lang w:val="en-US"/>
        </w:rPr>
        <w:t>s</w:t>
      </w:r>
      <w:r w:rsidR="007F3604" w:rsidRPr="007F3604">
        <w:rPr>
          <w:lang w:val="en-US"/>
        </w:rPr>
        <w:t>ible to scientific work</w:t>
      </w:r>
      <w:r w:rsidR="007F3604">
        <w:rPr>
          <w:lang w:val="en-US"/>
        </w:rPr>
        <w:t xml:space="preserve"> a site is</w:t>
      </w:r>
      <w:r w:rsidR="007F3604" w:rsidRPr="007F3604">
        <w:rPr>
          <w:lang w:val="en-US"/>
        </w:rPr>
        <w:t xml:space="preserve"> secured by removing </w:t>
      </w:r>
      <w:r w:rsidR="000E2956">
        <w:rPr>
          <w:lang w:val="en-US"/>
        </w:rPr>
        <w:t>dangerous rocks</w:t>
      </w:r>
      <w:r w:rsidR="007F3604" w:rsidRPr="007F3604">
        <w:rPr>
          <w:lang w:val="en-US"/>
        </w:rPr>
        <w:t xml:space="preserve"> and con</w:t>
      </w:r>
      <w:r w:rsidR="007F3604">
        <w:rPr>
          <w:lang w:val="en-US"/>
        </w:rPr>
        <w:t>structing supporting structures, during the work may be needed t</w:t>
      </w:r>
      <w:r w:rsidR="000E2956">
        <w:rPr>
          <w:lang w:val="en-US"/>
        </w:rPr>
        <w:t xml:space="preserve">o scale the rock by removing </w:t>
      </w:r>
      <w:r w:rsidR="007F3604">
        <w:rPr>
          <w:lang w:val="en-US"/>
        </w:rPr>
        <w:t>loose rock</w:t>
      </w:r>
      <w:r w:rsidR="0044652C">
        <w:rPr>
          <w:lang w:val="en-US"/>
        </w:rPr>
        <w:t xml:space="preserve"> with a scaling bar. These loose rocks are generated by some pro</w:t>
      </w:r>
      <w:r w:rsidR="000E2956">
        <w:rPr>
          <w:lang w:val="en-US"/>
        </w:rPr>
        <w:t>cesses, the most important are o</w:t>
      </w:r>
      <w:r w:rsidR="0044652C">
        <w:rPr>
          <w:lang w:val="en-US"/>
        </w:rPr>
        <w:t xml:space="preserve">xidation and physical stresses due to moon tides and temperature drifts. </w:t>
      </w:r>
    </w:p>
    <w:p w:rsidR="0062579D" w:rsidRDefault="0062579D" w:rsidP="000B4B36">
      <w:pPr>
        <w:jc w:val="both"/>
        <w:rPr>
          <w:lang w:val="en-US"/>
        </w:rPr>
      </w:pPr>
    </w:p>
    <w:p w:rsidR="007F3604" w:rsidRDefault="00C118A5" w:rsidP="000B4B36">
      <w:pPr>
        <w:jc w:val="both"/>
        <w:rPr>
          <w:lang w:val="en-US"/>
        </w:rPr>
      </w:pPr>
      <w:r>
        <w:rPr>
          <w:noProof/>
          <w:lang w:eastAsia="it-IT"/>
        </w:rPr>
        <w:drawing>
          <wp:anchor distT="0" distB="0" distL="114300" distR="114300" simplePos="0" relativeHeight="251671552" behindDoc="0" locked="0" layoutInCell="1" allowOverlap="1">
            <wp:simplePos x="0" y="0"/>
            <wp:positionH relativeFrom="column">
              <wp:posOffset>15240</wp:posOffset>
            </wp:positionH>
            <wp:positionV relativeFrom="paragraph">
              <wp:posOffset>45720</wp:posOffset>
            </wp:positionV>
            <wp:extent cx="2561590" cy="3421380"/>
            <wp:effectExtent l="19050" t="0" r="0" b="0"/>
            <wp:wrapSquare wrapText="bothSides"/>
            <wp:docPr id="14" name="Immagine 1" descr="C:\FOTOBACKUP\DUGL Pics\Ross Shaft c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OTOBACKUP\DUGL Pics\Ross Shaft cage.JPG"/>
                    <pic:cNvPicPr>
                      <a:picLocks noChangeAspect="1" noChangeArrowheads="1"/>
                    </pic:cNvPicPr>
                  </pic:nvPicPr>
                  <pic:blipFill>
                    <a:blip r:embed="rId17" cstate="print"/>
                    <a:srcRect/>
                    <a:stretch>
                      <a:fillRect/>
                    </a:stretch>
                  </pic:blipFill>
                  <pic:spPr bwMode="auto">
                    <a:xfrm>
                      <a:off x="0" y="0"/>
                      <a:ext cx="2561590" cy="3421380"/>
                    </a:xfrm>
                    <a:prstGeom prst="rect">
                      <a:avLst/>
                    </a:prstGeom>
                    <a:noFill/>
                    <a:ln w="9525">
                      <a:noFill/>
                      <a:miter lim="800000"/>
                      <a:headEnd/>
                      <a:tailEnd/>
                    </a:ln>
                  </pic:spPr>
                </pic:pic>
              </a:graphicData>
            </a:graphic>
          </wp:anchor>
        </w:drawing>
      </w:r>
      <w:r w:rsidR="0044652C" w:rsidRPr="0044652C">
        <w:rPr>
          <w:lang w:val="en-US"/>
        </w:rPr>
        <w:t>According to the policy of Sanford Lab</w:t>
      </w:r>
      <w:r w:rsidR="0044652C">
        <w:rPr>
          <w:lang w:val="en-US"/>
        </w:rPr>
        <w:t>oratory</w:t>
      </w:r>
      <w:r w:rsidR="0044652C" w:rsidRPr="0044652C">
        <w:rPr>
          <w:lang w:val="en-US"/>
        </w:rPr>
        <w:t>, scientific teams must be accompanied by an experienced miner. This summer Tom Trancynger (geologist), Jaret Heise (science-liaison director) and Reggie Wal</w:t>
      </w:r>
      <w:r w:rsidR="0044652C">
        <w:rPr>
          <w:lang w:val="en-US"/>
        </w:rPr>
        <w:t>ters (</w:t>
      </w:r>
      <w:r w:rsidR="0044652C" w:rsidRPr="0044652C">
        <w:rPr>
          <w:lang w:val="en-US"/>
        </w:rPr>
        <w:t xml:space="preserve">geologist) </w:t>
      </w:r>
      <w:r w:rsidR="00FF48EF">
        <w:rPr>
          <w:lang w:val="en-US"/>
        </w:rPr>
        <w:t>lea</w:t>
      </w:r>
      <w:r w:rsidR="0044652C" w:rsidRPr="0044652C">
        <w:rPr>
          <w:lang w:val="en-US"/>
        </w:rPr>
        <w:t xml:space="preserve">d our team </w:t>
      </w:r>
      <w:r w:rsidR="00FF48EF">
        <w:rPr>
          <w:lang w:val="en-US"/>
        </w:rPr>
        <w:t xml:space="preserve">underground </w:t>
      </w:r>
      <w:r w:rsidR="0044652C" w:rsidRPr="0044652C">
        <w:rPr>
          <w:lang w:val="en-US"/>
        </w:rPr>
        <w:t>and helped us in our work.</w:t>
      </w:r>
    </w:p>
    <w:p w:rsidR="00180025" w:rsidRDefault="009B29F4" w:rsidP="000B4B36">
      <w:pPr>
        <w:jc w:val="both"/>
        <w:rPr>
          <w:lang w:val="en-US"/>
        </w:rPr>
      </w:pPr>
      <w:r>
        <w:rPr>
          <w:noProof/>
        </w:rPr>
        <w:pict>
          <v:shape id="_x0000_s1033" type="#_x0000_t202" style="position:absolute;left:0;text-align:left;margin-left:-209.55pt;margin-top:196.6pt;width:201.95pt;height:21pt;z-index:251675648" stroked="f">
            <v:textbox style="mso-next-textbox:#_x0000_s1033;mso-fit-shape-to-text:t" inset="0,0,0,0">
              <w:txbxContent>
                <w:p w:rsidR="003A4FB4" w:rsidRPr="0062579D" w:rsidRDefault="003A4FB4" w:rsidP="0062579D">
                  <w:pPr>
                    <w:pStyle w:val="Didascalia"/>
                    <w:rPr>
                      <w:noProof/>
                      <w:color w:val="1F497D" w:themeColor="text2"/>
                      <w:lang w:val="en-US"/>
                    </w:rPr>
                  </w:pPr>
                  <w:r w:rsidRPr="0062579D">
                    <w:rPr>
                      <w:color w:val="1F497D" w:themeColor="text2"/>
                      <w:lang w:val="en-US"/>
                    </w:rPr>
                    <w:t xml:space="preserve">Figure </w:t>
                  </w:r>
                  <w:r w:rsidR="009B29F4" w:rsidRPr="0062579D">
                    <w:rPr>
                      <w:color w:val="1F497D" w:themeColor="text2"/>
                    </w:rPr>
                    <w:fldChar w:fldCharType="begin"/>
                  </w:r>
                  <w:r w:rsidRPr="0062579D">
                    <w:rPr>
                      <w:color w:val="1F497D" w:themeColor="text2"/>
                      <w:lang w:val="en-US"/>
                    </w:rPr>
                    <w:instrText xml:space="preserve"> SEQ Figure \* ARABIC </w:instrText>
                  </w:r>
                  <w:r w:rsidR="009B29F4" w:rsidRPr="0062579D">
                    <w:rPr>
                      <w:color w:val="1F497D" w:themeColor="text2"/>
                    </w:rPr>
                    <w:fldChar w:fldCharType="separate"/>
                  </w:r>
                  <w:r w:rsidR="00156B1D">
                    <w:rPr>
                      <w:noProof/>
                      <w:color w:val="1F497D" w:themeColor="text2"/>
                      <w:lang w:val="en-US"/>
                    </w:rPr>
                    <w:t>11</w:t>
                  </w:r>
                  <w:r w:rsidR="009B29F4" w:rsidRPr="0062579D">
                    <w:rPr>
                      <w:color w:val="1F497D" w:themeColor="text2"/>
                    </w:rPr>
                    <w:fldChar w:fldCharType="end"/>
                  </w:r>
                  <w:r w:rsidRPr="0062579D">
                    <w:rPr>
                      <w:color w:val="1F497D" w:themeColor="text2"/>
                      <w:lang w:val="en-US"/>
                    </w:rPr>
                    <w:t>: the Ross Shaft cage at surface level</w:t>
                  </w:r>
                </w:p>
              </w:txbxContent>
            </v:textbox>
            <w10:wrap type="square"/>
          </v:shape>
        </w:pict>
      </w:r>
      <w:r w:rsidR="001C4AB8" w:rsidRPr="001C4AB8">
        <w:rPr>
          <w:lang w:val="en-US"/>
        </w:rPr>
        <w:t xml:space="preserve">Daily work usually starts at the Yates office building where the </w:t>
      </w:r>
      <w:r w:rsidR="001C4AB8">
        <w:rPr>
          <w:lang w:val="en-US"/>
        </w:rPr>
        <w:t>team pick</w:t>
      </w:r>
      <w:r w:rsidR="00D62B5A">
        <w:rPr>
          <w:lang w:val="en-US"/>
        </w:rPr>
        <w:t>s</w:t>
      </w:r>
      <w:r w:rsidR="001C4AB8">
        <w:rPr>
          <w:lang w:val="en-US"/>
        </w:rPr>
        <w:t xml:space="preserve"> up the safety and work</w:t>
      </w:r>
      <w:r w:rsidR="001C4AB8" w:rsidRPr="001C4AB8">
        <w:rPr>
          <w:lang w:val="en-US"/>
        </w:rPr>
        <w:t xml:space="preserve"> equipment</w:t>
      </w:r>
      <w:r w:rsidR="00D62B5A">
        <w:rPr>
          <w:lang w:val="en-US"/>
        </w:rPr>
        <w:t xml:space="preserve"> and take the bus to the Ross s</w:t>
      </w:r>
      <w:r w:rsidR="007A4396">
        <w:rPr>
          <w:lang w:val="en-US"/>
        </w:rPr>
        <w:t>haft (</w:t>
      </w:r>
      <w:r w:rsidR="0062579D" w:rsidRPr="0062579D">
        <w:rPr>
          <w:i/>
          <w:lang w:val="en-US"/>
        </w:rPr>
        <w:t>figure 11</w:t>
      </w:r>
      <w:r w:rsidR="007A4396">
        <w:rPr>
          <w:lang w:val="en-US"/>
        </w:rPr>
        <w:t>)</w:t>
      </w:r>
      <w:r w:rsidR="001C4AB8">
        <w:rPr>
          <w:lang w:val="en-US"/>
        </w:rPr>
        <w:t xml:space="preserve"> </w:t>
      </w:r>
      <w:r w:rsidR="007A4396">
        <w:rPr>
          <w:lang w:val="en-US"/>
        </w:rPr>
        <w:t xml:space="preserve"> in order to be ready to </w:t>
      </w:r>
      <w:r w:rsidR="007A4396" w:rsidRPr="007A4396">
        <w:rPr>
          <w:i/>
          <w:lang w:val="en-US"/>
        </w:rPr>
        <w:t>cage</w:t>
      </w:r>
      <w:r w:rsidR="001C4AB8" w:rsidRPr="001C4AB8">
        <w:rPr>
          <w:lang w:val="en-US"/>
        </w:rPr>
        <w:t xml:space="preserve"> at the Ross shaft at 7:00 a.m.</w:t>
      </w:r>
      <w:r w:rsidR="007A4396">
        <w:rPr>
          <w:lang w:val="en-US"/>
        </w:rPr>
        <w:t xml:space="preserve">; scientists can work underground until noon or 4:30 p.m., and every activity must be scheduled before in the daily action plan. </w:t>
      </w:r>
      <w:r w:rsidR="001C4AB8" w:rsidRPr="001C4AB8">
        <w:rPr>
          <w:lang w:val="en-US"/>
        </w:rPr>
        <w:t>Team members</w:t>
      </w:r>
      <w:r w:rsidR="007A4396">
        <w:rPr>
          <w:lang w:val="en-US"/>
        </w:rPr>
        <w:t xml:space="preserve"> also</w:t>
      </w:r>
      <w:r w:rsidR="001C4AB8" w:rsidRPr="001C4AB8">
        <w:rPr>
          <w:lang w:val="en-US"/>
        </w:rPr>
        <w:t xml:space="preserve"> </w:t>
      </w:r>
      <w:r w:rsidR="00D62B5A">
        <w:rPr>
          <w:lang w:val="en-US"/>
        </w:rPr>
        <w:t>have</w:t>
      </w:r>
      <w:r w:rsidR="0062579D">
        <w:rPr>
          <w:lang w:val="en-US"/>
        </w:rPr>
        <w:t xml:space="preserve"> to </w:t>
      </w:r>
      <w:r w:rsidR="0062579D" w:rsidRPr="0062579D">
        <w:rPr>
          <w:i/>
          <w:lang w:val="en-US"/>
        </w:rPr>
        <w:t>tag-in</w:t>
      </w:r>
      <w:r w:rsidR="001C4AB8" w:rsidRPr="001C4AB8">
        <w:rPr>
          <w:lang w:val="en-US"/>
        </w:rPr>
        <w:t>, which means</w:t>
      </w:r>
      <w:r w:rsidR="00D62B5A">
        <w:rPr>
          <w:lang w:val="en-US"/>
        </w:rPr>
        <w:t xml:space="preserve"> to</w:t>
      </w:r>
      <w:r w:rsidR="001C4AB8" w:rsidRPr="001C4AB8">
        <w:rPr>
          <w:lang w:val="en-US"/>
        </w:rPr>
        <w:t xml:space="preserve"> pick a numbered metal plate and leave a copy at su</w:t>
      </w:r>
      <w:r w:rsidR="007A4396">
        <w:rPr>
          <w:lang w:val="en-US"/>
        </w:rPr>
        <w:t>rface, with ones name and plate number on the</w:t>
      </w:r>
      <w:r w:rsidR="001C4AB8" w:rsidRPr="001C4AB8">
        <w:rPr>
          <w:lang w:val="en-US"/>
        </w:rPr>
        <w:t xml:space="preserve"> daily action plan, in order to know </w:t>
      </w:r>
      <w:r w:rsidR="007A4396">
        <w:rPr>
          <w:lang w:val="en-US"/>
        </w:rPr>
        <w:t>always</w:t>
      </w:r>
      <w:r w:rsidR="001C4AB8" w:rsidRPr="001C4AB8">
        <w:rPr>
          <w:lang w:val="en-US"/>
        </w:rPr>
        <w:t xml:space="preserve"> who is underground </w:t>
      </w:r>
      <w:r w:rsidR="007A4396">
        <w:rPr>
          <w:lang w:val="en-US"/>
        </w:rPr>
        <w:t>and where</w:t>
      </w:r>
      <w:r w:rsidR="00FF48EF">
        <w:rPr>
          <w:lang w:val="en-US"/>
        </w:rPr>
        <w:t xml:space="preserve"> to look for</w:t>
      </w:r>
      <w:r w:rsidR="007A4396">
        <w:rPr>
          <w:lang w:val="en-US"/>
        </w:rPr>
        <w:t xml:space="preserve"> </w:t>
      </w:r>
      <w:r w:rsidR="001C4AB8" w:rsidRPr="001C4AB8">
        <w:rPr>
          <w:lang w:val="en-US"/>
        </w:rPr>
        <w:t>if something happens</w:t>
      </w:r>
      <w:r w:rsidR="007A4396">
        <w:rPr>
          <w:lang w:val="en-US"/>
        </w:rPr>
        <w:t>,</w:t>
      </w:r>
      <w:r w:rsidR="001C4AB8" w:rsidRPr="001C4AB8">
        <w:rPr>
          <w:lang w:val="en-US"/>
        </w:rPr>
        <w:t xml:space="preserve"> and also</w:t>
      </w:r>
      <w:r w:rsidR="007A4396">
        <w:rPr>
          <w:lang w:val="en-US"/>
        </w:rPr>
        <w:t xml:space="preserve"> in order</w:t>
      </w:r>
      <w:r w:rsidR="001C4AB8" w:rsidRPr="001C4AB8">
        <w:rPr>
          <w:lang w:val="en-US"/>
        </w:rPr>
        <w:t xml:space="preserve"> to identify </w:t>
      </w:r>
      <w:r w:rsidR="00FF48EF">
        <w:rPr>
          <w:lang w:val="en-US"/>
        </w:rPr>
        <w:t>maimed or burned bodies</w:t>
      </w:r>
      <w:r w:rsidR="001C4AB8" w:rsidRPr="001C4AB8">
        <w:rPr>
          <w:lang w:val="en-US"/>
        </w:rPr>
        <w:t xml:space="preserve"> by the metal plate.</w:t>
      </w:r>
      <w:r w:rsidR="001E1EB9">
        <w:rPr>
          <w:lang w:val="en-US"/>
        </w:rPr>
        <w:t xml:space="preserve"> S</w:t>
      </w:r>
      <w:r w:rsidR="001C4AB8" w:rsidRPr="001C4AB8">
        <w:rPr>
          <w:lang w:val="en-US"/>
        </w:rPr>
        <w:t>cientific team</w:t>
      </w:r>
      <w:r w:rsidR="001E1EB9">
        <w:rPr>
          <w:lang w:val="en-US"/>
        </w:rPr>
        <w:t>s</w:t>
      </w:r>
      <w:r w:rsidR="001C4AB8" w:rsidRPr="001C4AB8">
        <w:rPr>
          <w:lang w:val="en-US"/>
        </w:rPr>
        <w:t xml:space="preserve"> ha</w:t>
      </w:r>
      <w:r w:rsidR="00D62B5A">
        <w:rPr>
          <w:lang w:val="en-US"/>
        </w:rPr>
        <w:t>ve</w:t>
      </w:r>
      <w:r w:rsidR="001C4AB8" w:rsidRPr="001C4AB8">
        <w:rPr>
          <w:lang w:val="en-US"/>
        </w:rPr>
        <w:t xml:space="preserve"> to be on time to get a cage as general rule, coming late would mean to delay </w:t>
      </w:r>
      <w:r w:rsidR="001E1EB9">
        <w:rPr>
          <w:lang w:val="en-US"/>
        </w:rPr>
        <w:t xml:space="preserve">the </w:t>
      </w:r>
      <w:r w:rsidR="001C4AB8" w:rsidRPr="001C4AB8">
        <w:rPr>
          <w:lang w:val="en-US"/>
        </w:rPr>
        <w:t>work of other teams in the mine</w:t>
      </w:r>
      <w:r w:rsidR="00FF48EF">
        <w:rPr>
          <w:lang w:val="en-US"/>
        </w:rPr>
        <w:t>, or</w:t>
      </w:r>
      <w:r w:rsidR="001C4AB8" w:rsidRPr="001C4AB8">
        <w:rPr>
          <w:lang w:val="en-US"/>
        </w:rPr>
        <w:t xml:space="preserve"> a long wait for a next cage</w:t>
      </w:r>
      <w:r w:rsidR="001E1EB9">
        <w:rPr>
          <w:lang w:val="en-US"/>
        </w:rPr>
        <w:t xml:space="preserve"> opportunity</w:t>
      </w:r>
      <w:r w:rsidR="001C4AB8" w:rsidRPr="001C4AB8">
        <w:rPr>
          <w:lang w:val="en-US"/>
        </w:rPr>
        <w:t xml:space="preserve">. </w:t>
      </w:r>
    </w:p>
    <w:p w:rsidR="00B5427F" w:rsidRPr="00B5427F" w:rsidRDefault="00B5427F" w:rsidP="00D62B5A">
      <w:pPr>
        <w:jc w:val="both"/>
        <w:rPr>
          <w:lang w:val="en-US"/>
        </w:rPr>
      </w:pPr>
      <w:r>
        <w:rPr>
          <w:lang w:val="en-US"/>
        </w:rPr>
        <w:t xml:space="preserve">The mine train in the underground levels was not available this summer: all the necessary scientific and construction </w:t>
      </w:r>
      <w:r w:rsidRPr="00B5427F">
        <w:rPr>
          <w:lang w:val="en-US"/>
        </w:rPr>
        <w:t>equipment</w:t>
      </w:r>
      <w:r w:rsidR="00D62B5A">
        <w:rPr>
          <w:lang w:val="en-US"/>
        </w:rPr>
        <w:t xml:space="preserve"> previously prepared in the office b</w:t>
      </w:r>
      <w:r w:rsidR="00D62B5A" w:rsidRPr="00D62B5A">
        <w:rPr>
          <w:lang w:val="en-US"/>
        </w:rPr>
        <w:t>uilding</w:t>
      </w:r>
      <w:r>
        <w:rPr>
          <w:lang w:val="en-US"/>
        </w:rPr>
        <w:t xml:space="preserve"> were carried by hand and wit</w:t>
      </w:r>
      <w:r w:rsidR="00D62B5A">
        <w:rPr>
          <w:lang w:val="en-US"/>
        </w:rPr>
        <w:t>h</w:t>
      </w:r>
      <w:r>
        <w:rPr>
          <w:lang w:val="en-US"/>
        </w:rPr>
        <w:t xml:space="preserve"> a “</w:t>
      </w:r>
      <w:r w:rsidRPr="00B5427F">
        <w:rPr>
          <w:lang w:val="en-US"/>
        </w:rPr>
        <w:t>stretcher</w:t>
      </w:r>
      <w:r>
        <w:rPr>
          <w:lang w:val="en-US"/>
        </w:rPr>
        <w:t xml:space="preserve">”. </w:t>
      </w:r>
    </w:p>
    <w:p w:rsidR="00720483" w:rsidRDefault="00720483" w:rsidP="000B4B36">
      <w:pPr>
        <w:jc w:val="both"/>
        <w:rPr>
          <w:lang w:val="en-US"/>
        </w:rPr>
      </w:pPr>
    </w:p>
    <w:p w:rsidR="00C2083E" w:rsidRDefault="00C2083E" w:rsidP="000B4B36">
      <w:pPr>
        <w:jc w:val="both"/>
        <w:rPr>
          <w:lang w:val="en-US"/>
        </w:rPr>
      </w:pPr>
    </w:p>
    <w:p w:rsidR="00A171D6" w:rsidRPr="000D786E" w:rsidRDefault="00A171D6" w:rsidP="000B4B36">
      <w:pPr>
        <w:jc w:val="both"/>
        <w:rPr>
          <w:b/>
          <w:sz w:val="28"/>
          <w:szCs w:val="28"/>
          <w:lang w:val="en-US"/>
        </w:rPr>
      </w:pPr>
      <w:r w:rsidRPr="000D786E">
        <w:rPr>
          <w:b/>
          <w:sz w:val="28"/>
          <w:szCs w:val="28"/>
          <w:lang w:val="en-US"/>
        </w:rPr>
        <w:lastRenderedPageBreak/>
        <w:t>V.</w:t>
      </w:r>
      <w:r w:rsidR="00B470FF" w:rsidRPr="000D786E">
        <w:rPr>
          <w:b/>
          <w:sz w:val="28"/>
          <w:szCs w:val="28"/>
          <w:lang w:val="en-US"/>
        </w:rPr>
        <w:t xml:space="preserve"> </w:t>
      </w:r>
      <w:r w:rsidRPr="000D786E">
        <w:rPr>
          <w:b/>
          <w:sz w:val="28"/>
          <w:szCs w:val="28"/>
          <w:lang w:val="en-US"/>
        </w:rPr>
        <w:t>C</w:t>
      </w:r>
      <w:r w:rsidR="000D786E">
        <w:rPr>
          <w:b/>
          <w:sz w:val="28"/>
          <w:szCs w:val="28"/>
          <w:lang w:val="en-US"/>
        </w:rPr>
        <w:t>onstruction of the new stations</w:t>
      </w:r>
    </w:p>
    <w:p w:rsidR="00A171D6" w:rsidRDefault="000D786E" w:rsidP="000B4B36">
      <w:pPr>
        <w:jc w:val="both"/>
        <w:rPr>
          <w:lang w:val="en-US"/>
        </w:rPr>
      </w:pPr>
      <w:r w:rsidRPr="000D786E">
        <w:rPr>
          <w:lang w:val="en-US"/>
        </w:rPr>
        <w:t xml:space="preserve">Our </w:t>
      </w:r>
      <w:r w:rsidR="006B746B">
        <w:rPr>
          <w:lang w:val="en-US"/>
        </w:rPr>
        <w:t>work begun on June, 9</w:t>
      </w:r>
      <w:r w:rsidR="006B746B" w:rsidRPr="006B746B">
        <w:rPr>
          <w:vertAlign w:val="superscript"/>
          <w:lang w:val="en-US"/>
        </w:rPr>
        <w:t>th</w:t>
      </w:r>
      <w:r w:rsidR="006B746B">
        <w:rPr>
          <w:lang w:val="en-US"/>
        </w:rPr>
        <w:t xml:space="preserve"> and lasted until July, 31</w:t>
      </w:r>
      <w:r w:rsidR="006B746B" w:rsidRPr="006B746B">
        <w:rPr>
          <w:vertAlign w:val="superscript"/>
          <w:lang w:val="en-US"/>
        </w:rPr>
        <w:t>st</w:t>
      </w:r>
      <w:r w:rsidR="006B746B">
        <w:rPr>
          <w:lang w:val="en-US"/>
        </w:rPr>
        <w:t xml:space="preserve">. </w:t>
      </w:r>
      <w:r w:rsidR="000D2B35">
        <w:rPr>
          <w:lang w:val="en-US"/>
        </w:rPr>
        <w:t>In this period we started a collaboration with the ET group of Jo Van den Brand and Mark Beker: they joined our team for abo</w:t>
      </w:r>
      <w:r w:rsidR="00FF48EF">
        <w:rPr>
          <w:lang w:val="en-US"/>
        </w:rPr>
        <w:t xml:space="preserve">ut a week and </w:t>
      </w:r>
      <w:r w:rsidR="00D62B5A">
        <w:rPr>
          <w:lang w:val="en-US"/>
        </w:rPr>
        <w:t>provided</w:t>
      </w:r>
      <w:r w:rsidR="000D2B35">
        <w:rPr>
          <w:lang w:val="en-US"/>
        </w:rPr>
        <w:t xml:space="preserve"> </w:t>
      </w:r>
      <w:r w:rsidR="00D62B5A">
        <w:rPr>
          <w:lang w:val="en-US"/>
        </w:rPr>
        <w:t>two seismometers Trillium 240 for</w:t>
      </w:r>
      <w:r w:rsidR="000D2B35">
        <w:rPr>
          <w:lang w:val="en-US"/>
        </w:rPr>
        <w:t xml:space="preserve"> our new stations. Our</w:t>
      </w:r>
      <w:r w:rsidR="006B746B">
        <w:rPr>
          <w:lang w:val="en-US"/>
        </w:rPr>
        <w:t xml:space="preserve"> </w:t>
      </w:r>
      <w:r w:rsidRPr="000D786E">
        <w:rPr>
          <w:lang w:val="en-US"/>
        </w:rPr>
        <w:t>first goal was to fix the old stations</w:t>
      </w:r>
      <w:r w:rsidR="00D62B5A">
        <w:rPr>
          <w:lang w:val="en-US"/>
        </w:rPr>
        <w:t>’</w:t>
      </w:r>
      <w:r w:rsidRPr="000D786E">
        <w:rPr>
          <w:lang w:val="en-US"/>
        </w:rPr>
        <w:t xml:space="preserve"> confi</w:t>
      </w:r>
      <w:r w:rsidR="002C4E36">
        <w:rPr>
          <w:lang w:val="en-US"/>
        </w:rPr>
        <w:t>guration</w:t>
      </w:r>
      <w:sdt>
        <w:sdtPr>
          <w:rPr>
            <w:lang w:val="en-US"/>
          </w:rPr>
          <w:id w:val="3591812"/>
          <w:citation/>
        </w:sdtPr>
        <w:sdtEndPr>
          <w:rPr>
            <w:vertAlign w:val="superscript"/>
          </w:rPr>
        </w:sdtEndPr>
        <w:sdtContent>
          <w:r w:rsidR="009B29F4" w:rsidRPr="00D51C6D">
            <w:rPr>
              <w:vertAlign w:val="superscript"/>
              <w:lang w:val="en-US"/>
            </w:rPr>
            <w:fldChar w:fldCharType="begin"/>
          </w:r>
          <w:r w:rsidR="00D51C6D" w:rsidRPr="00D51C6D">
            <w:rPr>
              <w:vertAlign w:val="superscript"/>
              <w:lang w:val="en-US"/>
            </w:rPr>
            <w:instrText xml:space="preserve"> CITATION JHa09 \l 1040 </w:instrText>
          </w:r>
          <w:r w:rsidR="009B29F4" w:rsidRPr="00D51C6D">
            <w:rPr>
              <w:vertAlign w:val="superscript"/>
              <w:lang w:val="en-US"/>
            </w:rPr>
            <w:fldChar w:fldCharType="separate"/>
          </w:r>
          <w:r w:rsidR="00EB71AC">
            <w:rPr>
              <w:noProof/>
              <w:vertAlign w:val="superscript"/>
              <w:lang w:val="en-US"/>
            </w:rPr>
            <w:t xml:space="preserve"> </w:t>
          </w:r>
          <w:r w:rsidR="00EB71AC" w:rsidRPr="00EB71AC">
            <w:rPr>
              <w:noProof/>
              <w:vertAlign w:val="superscript"/>
              <w:lang w:val="en-US"/>
            </w:rPr>
            <w:t>(2)</w:t>
          </w:r>
          <w:r w:rsidR="009B29F4" w:rsidRPr="00D51C6D">
            <w:rPr>
              <w:vertAlign w:val="superscript"/>
              <w:lang w:val="en-US"/>
            </w:rPr>
            <w:fldChar w:fldCharType="end"/>
          </w:r>
        </w:sdtContent>
      </w:sdt>
      <w:r w:rsidR="002C4E36">
        <w:rPr>
          <w:lang w:val="en-US"/>
        </w:rPr>
        <w:t xml:space="preserve">: </w:t>
      </w:r>
      <w:r w:rsidRPr="000D786E">
        <w:rPr>
          <w:lang w:val="en-US"/>
        </w:rPr>
        <w:t>we did it by</w:t>
      </w:r>
      <w:r w:rsidR="002C4E36">
        <w:rPr>
          <w:lang w:val="en-US"/>
        </w:rPr>
        <w:t xml:space="preserve"> connecting </w:t>
      </w:r>
      <w:r w:rsidR="000D2B35">
        <w:rPr>
          <w:lang w:val="en-US"/>
        </w:rPr>
        <w:t xml:space="preserve">all </w:t>
      </w:r>
      <w:r w:rsidR="002C4E36">
        <w:rPr>
          <w:lang w:val="en-US"/>
        </w:rPr>
        <w:t>the</w:t>
      </w:r>
      <w:r w:rsidR="000D2B35">
        <w:rPr>
          <w:lang w:val="en-US"/>
        </w:rPr>
        <w:t xml:space="preserve"> three</w:t>
      </w:r>
      <w:r w:rsidR="002C4E36">
        <w:rPr>
          <w:lang w:val="en-US"/>
        </w:rPr>
        <w:t xml:space="preserve"> stations at the internet network via fiber-optic, by</w:t>
      </w:r>
      <w:r w:rsidRPr="000D786E">
        <w:rPr>
          <w:lang w:val="en-US"/>
        </w:rPr>
        <w:t xml:space="preserve"> exchanging the old sensor bo</w:t>
      </w:r>
      <w:r>
        <w:rPr>
          <w:lang w:val="en-US"/>
        </w:rPr>
        <w:t xml:space="preserve">ards with the new ones we </w:t>
      </w:r>
      <w:r w:rsidR="00FF48EF">
        <w:rPr>
          <w:lang w:val="en-US"/>
        </w:rPr>
        <w:t>prepared</w:t>
      </w:r>
      <w:r>
        <w:rPr>
          <w:lang w:val="en-US"/>
        </w:rPr>
        <w:t>, and also changing the seismometers</w:t>
      </w:r>
      <w:r w:rsidR="00D62B5A">
        <w:rPr>
          <w:lang w:val="en-US"/>
        </w:rPr>
        <w:t>’</w:t>
      </w:r>
      <w:r>
        <w:rPr>
          <w:lang w:val="en-US"/>
        </w:rPr>
        <w:t xml:space="preserve"> allocation</w:t>
      </w:r>
      <w:r w:rsidR="00FF48EF">
        <w:rPr>
          <w:lang w:val="en-US"/>
        </w:rPr>
        <w:t>s</w:t>
      </w:r>
      <w:r>
        <w:rPr>
          <w:lang w:val="en-US"/>
        </w:rPr>
        <w:t xml:space="preserve">: in the final configuration the less accurate seismometer </w:t>
      </w:r>
      <w:r w:rsidRPr="000D786E">
        <w:rPr>
          <w:bCs/>
          <w:lang w:val="en-US"/>
        </w:rPr>
        <w:t>Güralp</w:t>
      </w:r>
      <w:r>
        <w:rPr>
          <w:bCs/>
          <w:lang w:val="en-US"/>
        </w:rPr>
        <w:t xml:space="preserve"> </w:t>
      </w:r>
      <w:r w:rsidR="00FF48EF">
        <w:rPr>
          <w:lang w:val="en-US"/>
        </w:rPr>
        <w:t>wa</w:t>
      </w:r>
      <w:r>
        <w:rPr>
          <w:lang w:val="en-US"/>
        </w:rPr>
        <w:t>s located at the higher level (90 m), while two Trillium 240 are located in the old stations at 240 m and 610 m levels</w:t>
      </w:r>
      <w:r w:rsidR="000D2B35">
        <w:rPr>
          <w:lang w:val="en-US"/>
        </w:rPr>
        <w:t xml:space="preserve"> </w:t>
      </w:r>
      <w:r w:rsidR="000D2B35">
        <w:rPr>
          <w:bCs/>
          <w:lang w:val="en-US"/>
        </w:rPr>
        <w:t>(</w:t>
      </w:r>
      <w:r w:rsidR="000D2B35" w:rsidRPr="002C4E36">
        <w:rPr>
          <w:bCs/>
          <w:i/>
          <w:lang w:val="en-US"/>
        </w:rPr>
        <w:t>for senso</w:t>
      </w:r>
      <w:r w:rsidR="002F6BA5">
        <w:rPr>
          <w:bCs/>
          <w:i/>
          <w:lang w:val="en-US"/>
        </w:rPr>
        <w:t>r boards and instruments see</w:t>
      </w:r>
      <w:r w:rsidR="000D2B35" w:rsidRPr="002C4E36">
        <w:rPr>
          <w:bCs/>
          <w:i/>
          <w:lang w:val="en-US"/>
        </w:rPr>
        <w:t xml:space="preserve"> section</w:t>
      </w:r>
      <w:r w:rsidR="002F6BA5">
        <w:rPr>
          <w:bCs/>
          <w:i/>
          <w:lang w:val="en-US"/>
        </w:rPr>
        <w:t xml:space="preserve"> VI</w:t>
      </w:r>
      <w:r w:rsidR="000D2B35">
        <w:rPr>
          <w:lang w:val="en-US"/>
        </w:rPr>
        <w:t>)</w:t>
      </w:r>
      <w:r>
        <w:rPr>
          <w:lang w:val="en-US"/>
        </w:rPr>
        <w:t>.</w:t>
      </w:r>
    </w:p>
    <w:p w:rsidR="00322264" w:rsidRDefault="00322264" w:rsidP="000B4B36">
      <w:pPr>
        <w:jc w:val="both"/>
        <w:rPr>
          <w:lang w:val="en-US"/>
        </w:rPr>
      </w:pPr>
      <w:r>
        <w:rPr>
          <w:lang w:val="en-US"/>
        </w:rPr>
        <w:t xml:space="preserve">The 610 m level was chosen to host the first sub-array consisting </w:t>
      </w:r>
      <w:r w:rsidR="00EC55F8">
        <w:rPr>
          <w:lang w:val="en-US"/>
        </w:rPr>
        <w:t>of</w:t>
      </w:r>
      <w:r>
        <w:rPr>
          <w:lang w:val="en-US"/>
        </w:rPr>
        <w:t xml:space="preserve"> the o</w:t>
      </w:r>
      <w:r w:rsidR="000D2B35">
        <w:rPr>
          <w:lang w:val="en-US"/>
        </w:rPr>
        <w:t>ld station an</w:t>
      </w:r>
      <w:r w:rsidR="00D62B5A">
        <w:rPr>
          <w:lang w:val="en-US"/>
        </w:rPr>
        <w:t>d two new stations, separated</w:t>
      </w:r>
      <w:r w:rsidR="000D2B35">
        <w:rPr>
          <w:lang w:val="en-US"/>
        </w:rPr>
        <w:t xml:space="preserve"> </w:t>
      </w:r>
      <w:r w:rsidR="000D2B35" w:rsidRPr="000D2B35">
        <w:rPr>
          <w:lang w:val="en-US"/>
        </w:rPr>
        <w:t>from each other</w:t>
      </w:r>
      <w:r w:rsidR="000D2B35">
        <w:rPr>
          <w:lang w:val="en-US"/>
        </w:rPr>
        <w:t xml:space="preserve"> by about </w:t>
      </w:r>
      <w:r w:rsidR="00EC55F8">
        <w:rPr>
          <w:lang w:val="en-US"/>
        </w:rPr>
        <w:t>350 m. The 1250 m level was chosen for another sub-array consisting of three new stations, located about 90 m from each other.</w:t>
      </w:r>
      <w:r w:rsidR="00F0410E">
        <w:rPr>
          <w:lang w:val="en-US"/>
        </w:rPr>
        <w:t xml:space="preserve"> The final configuration of our three dimensional seismic array is shown in </w:t>
      </w:r>
      <w:r w:rsidR="00F0410E" w:rsidRPr="00F0410E">
        <w:rPr>
          <w:i/>
          <w:lang w:val="en-US"/>
        </w:rPr>
        <w:t>figure 12</w:t>
      </w:r>
      <w:r w:rsidR="00F0410E">
        <w:rPr>
          <w:lang w:val="en-US"/>
        </w:rPr>
        <w:t>.</w:t>
      </w:r>
    </w:p>
    <w:p w:rsidR="00F0410E" w:rsidRDefault="00F0410E" w:rsidP="00F0410E">
      <w:pPr>
        <w:keepNext/>
        <w:jc w:val="both"/>
      </w:pPr>
      <w:r w:rsidRPr="00F0410E">
        <w:rPr>
          <w:noProof/>
          <w:lang w:eastAsia="it-IT"/>
        </w:rPr>
        <w:drawing>
          <wp:inline distT="0" distB="0" distL="0" distR="0">
            <wp:extent cx="6120130" cy="3528956"/>
            <wp:effectExtent l="19050" t="0" r="0" b="0"/>
            <wp:docPr id="15" name="Oggetto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61325" cy="4648200"/>
                      <a:chOff x="533400" y="1828800"/>
                      <a:chExt cx="8061325" cy="4648200"/>
                    </a:xfrm>
                  </a:grpSpPr>
                  <a:pic>
                    <a:nvPicPr>
                      <a:cNvPr id="38917" name="Picture 2" descr="C:\Documents and Settings\pc\Desktop\seminario_hanford\MapLevels.png"/>
                      <a:cNvPicPr>
                        <a:picLocks noChangeAspect="1" noChangeArrowheads="1"/>
                      </a:cNvPicPr>
                    </a:nvPicPr>
                    <a:blipFill>
                      <a:blip r:embed="rId18"/>
                      <a:srcRect/>
                      <a:stretch>
                        <a:fillRect/>
                      </a:stretch>
                    </a:blipFill>
                    <a:spPr bwMode="auto">
                      <a:xfrm>
                        <a:off x="533400" y="1828800"/>
                        <a:ext cx="7962900" cy="4648200"/>
                      </a:xfrm>
                      <a:prstGeom prst="rect">
                        <a:avLst/>
                      </a:prstGeom>
                      <a:noFill/>
                      <a:ln w="9525">
                        <a:noFill/>
                        <a:miter lim="800000"/>
                        <a:headEnd/>
                        <a:tailEnd/>
                      </a:ln>
                    </a:spPr>
                  </a:pic>
                  <a:sp>
                    <a:nvSpPr>
                      <a:cNvPr id="38918" name="CasellaDiTesto 5"/>
                      <a:cNvSpPr txBox="1">
                        <a:spLocks noChangeArrowheads="1"/>
                      </a:cNvSpPr>
                    </a:nvSpPr>
                    <a:spPr bwMode="auto">
                      <a:xfrm>
                        <a:off x="2514600" y="4495800"/>
                        <a:ext cx="1684338" cy="369888"/>
                      </a:xfrm>
                      <a:prstGeom prst="rect">
                        <a:avLst/>
                      </a:prstGeom>
                      <a:noFill/>
                      <a:ln w="9525">
                        <a:noFill/>
                        <a:miter lim="800000"/>
                        <a:headEnd/>
                        <a:tailEnd/>
                      </a:ln>
                    </a:spPr>
                    <a:txSp>
                      <a:txBody>
                        <a:bodyPr wrap="none">
                          <a:spAutoFit/>
                        </a:bodyPr>
                        <a:lstStyle>
                          <a:defPPr>
                            <a:defRPr lang="en-US"/>
                          </a:defPPr>
                          <a:lvl1pPr algn="l" rtl="0" eaLnBrk="0" fontAlgn="base" hangingPunct="0">
                            <a:spcBef>
                              <a:spcPct val="0"/>
                            </a:spcBef>
                            <a:spcAft>
                              <a:spcPct val="0"/>
                            </a:spcAft>
                            <a:defRPr kern="1200">
                              <a:solidFill>
                                <a:srgbClr val="003366"/>
                              </a:solidFill>
                              <a:latin typeface="Arial" charset="0"/>
                            </a:defRPr>
                          </a:lvl1pPr>
                          <a:lvl2pPr marL="457200" algn="l" rtl="0" eaLnBrk="0" fontAlgn="base" hangingPunct="0">
                            <a:spcBef>
                              <a:spcPct val="0"/>
                            </a:spcBef>
                            <a:spcAft>
                              <a:spcPct val="0"/>
                            </a:spcAft>
                            <a:defRPr kern="1200">
                              <a:solidFill>
                                <a:srgbClr val="003366"/>
                              </a:solidFill>
                              <a:latin typeface="Arial" charset="0"/>
                            </a:defRPr>
                          </a:lvl2pPr>
                          <a:lvl3pPr marL="914400" algn="l" rtl="0" eaLnBrk="0" fontAlgn="base" hangingPunct="0">
                            <a:spcBef>
                              <a:spcPct val="0"/>
                            </a:spcBef>
                            <a:spcAft>
                              <a:spcPct val="0"/>
                            </a:spcAft>
                            <a:defRPr kern="1200">
                              <a:solidFill>
                                <a:srgbClr val="003366"/>
                              </a:solidFill>
                              <a:latin typeface="Arial" charset="0"/>
                            </a:defRPr>
                          </a:lvl3pPr>
                          <a:lvl4pPr marL="1371600" algn="l" rtl="0" eaLnBrk="0" fontAlgn="base" hangingPunct="0">
                            <a:spcBef>
                              <a:spcPct val="0"/>
                            </a:spcBef>
                            <a:spcAft>
                              <a:spcPct val="0"/>
                            </a:spcAft>
                            <a:defRPr kern="1200">
                              <a:solidFill>
                                <a:srgbClr val="003366"/>
                              </a:solidFill>
                              <a:latin typeface="Arial" charset="0"/>
                            </a:defRPr>
                          </a:lvl4pPr>
                          <a:lvl5pPr marL="1828800" algn="l" rtl="0" eaLnBrk="0" fontAlgn="base" hangingPunct="0">
                            <a:spcBef>
                              <a:spcPct val="0"/>
                            </a:spcBef>
                            <a:spcAft>
                              <a:spcPct val="0"/>
                            </a:spcAft>
                            <a:defRPr kern="1200">
                              <a:solidFill>
                                <a:srgbClr val="003366"/>
                              </a:solidFill>
                              <a:latin typeface="Arial" charset="0"/>
                            </a:defRPr>
                          </a:lvl5pPr>
                          <a:lvl6pPr marL="2286000" algn="l" defTabSz="914400" rtl="0" eaLnBrk="1" latinLnBrk="0" hangingPunct="1">
                            <a:defRPr kern="1200">
                              <a:solidFill>
                                <a:srgbClr val="003366"/>
                              </a:solidFill>
                              <a:latin typeface="Arial" charset="0"/>
                            </a:defRPr>
                          </a:lvl6pPr>
                          <a:lvl7pPr marL="2743200" algn="l" defTabSz="914400" rtl="0" eaLnBrk="1" latinLnBrk="0" hangingPunct="1">
                            <a:defRPr kern="1200">
                              <a:solidFill>
                                <a:srgbClr val="003366"/>
                              </a:solidFill>
                              <a:latin typeface="Arial" charset="0"/>
                            </a:defRPr>
                          </a:lvl7pPr>
                          <a:lvl8pPr marL="3200400" algn="l" defTabSz="914400" rtl="0" eaLnBrk="1" latinLnBrk="0" hangingPunct="1">
                            <a:defRPr kern="1200">
                              <a:solidFill>
                                <a:srgbClr val="003366"/>
                              </a:solidFill>
                              <a:latin typeface="Arial" charset="0"/>
                            </a:defRPr>
                          </a:lvl8pPr>
                          <a:lvl9pPr marL="3657600" algn="l" defTabSz="914400" rtl="0" eaLnBrk="1" latinLnBrk="0" hangingPunct="1">
                            <a:defRPr kern="1200">
                              <a:solidFill>
                                <a:srgbClr val="003366"/>
                              </a:solidFill>
                              <a:latin typeface="Arial" charset="0"/>
                            </a:defRPr>
                          </a:lvl9pPr>
                        </a:lstStyle>
                        <a:p>
                          <a:r>
                            <a:rPr lang="it-IT"/>
                            <a:t>2000 ft (610m)</a:t>
                          </a:r>
                        </a:p>
                      </a:txBody>
                      <a:useSpRect/>
                    </a:txSp>
                  </a:sp>
                  <a:sp>
                    <a:nvSpPr>
                      <a:cNvPr id="38919" name="CasellaDiTesto 6"/>
                      <a:cNvSpPr txBox="1">
                        <a:spLocks noChangeArrowheads="1"/>
                      </a:cNvSpPr>
                    </a:nvSpPr>
                    <a:spPr bwMode="auto">
                      <a:xfrm>
                        <a:off x="6781800" y="4191000"/>
                        <a:ext cx="1812925" cy="369888"/>
                      </a:xfrm>
                      <a:prstGeom prst="rect">
                        <a:avLst/>
                      </a:prstGeom>
                      <a:noFill/>
                      <a:ln w="9525">
                        <a:noFill/>
                        <a:miter lim="800000"/>
                        <a:headEnd/>
                        <a:tailEnd/>
                      </a:ln>
                    </a:spPr>
                    <a:txSp>
                      <a:txBody>
                        <a:bodyPr wrap="none">
                          <a:spAutoFit/>
                        </a:bodyPr>
                        <a:lstStyle>
                          <a:defPPr>
                            <a:defRPr lang="en-US"/>
                          </a:defPPr>
                          <a:lvl1pPr algn="l" rtl="0" eaLnBrk="0" fontAlgn="base" hangingPunct="0">
                            <a:spcBef>
                              <a:spcPct val="0"/>
                            </a:spcBef>
                            <a:spcAft>
                              <a:spcPct val="0"/>
                            </a:spcAft>
                            <a:defRPr kern="1200">
                              <a:solidFill>
                                <a:srgbClr val="003366"/>
                              </a:solidFill>
                              <a:latin typeface="Arial" charset="0"/>
                            </a:defRPr>
                          </a:lvl1pPr>
                          <a:lvl2pPr marL="457200" algn="l" rtl="0" eaLnBrk="0" fontAlgn="base" hangingPunct="0">
                            <a:spcBef>
                              <a:spcPct val="0"/>
                            </a:spcBef>
                            <a:spcAft>
                              <a:spcPct val="0"/>
                            </a:spcAft>
                            <a:defRPr kern="1200">
                              <a:solidFill>
                                <a:srgbClr val="003366"/>
                              </a:solidFill>
                              <a:latin typeface="Arial" charset="0"/>
                            </a:defRPr>
                          </a:lvl2pPr>
                          <a:lvl3pPr marL="914400" algn="l" rtl="0" eaLnBrk="0" fontAlgn="base" hangingPunct="0">
                            <a:spcBef>
                              <a:spcPct val="0"/>
                            </a:spcBef>
                            <a:spcAft>
                              <a:spcPct val="0"/>
                            </a:spcAft>
                            <a:defRPr kern="1200">
                              <a:solidFill>
                                <a:srgbClr val="003366"/>
                              </a:solidFill>
                              <a:latin typeface="Arial" charset="0"/>
                            </a:defRPr>
                          </a:lvl3pPr>
                          <a:lvl4pPr marL="1371600" algn="l" rtl="0" eaLnBrk="0" fontAlgn="base" hangingPunct="0">
                            <a:spcBef>
                              <a:spcPct val="0"/>
                            </a:spcBef>
                            <a:spcAft>
                              <a:spcPct val="0"/>
                            </a:spcAft>
                            <a:defRPr kern="1200">
                              <a:solidFill>
                                <a:srgbClr val="003366"/>
                              </a:solidFill>
                              <a:latin typeface="Arial" charset="0"/>
                            </a:defRPr>
                          </a:lvl4pPr>
                          <a:lvl5pPr marL="1828800" algn="l" rtl="0" eaLnBrk="0" fontAlgn="base" hangingPunct="0">
                            <a:spcBef>
                              <a:spcPct val="0"/>
                            </a:spcBef>
                            <a:spcAft>
                              <a:spcPct val="0"/>
                            </a:spcAft>
                            <a:defRPr kern="1200">
                              <a:solidFill>
                                <a:srgbClr val="003366"/>
                              </a:solidFill>
                              <a:latin typeface="Arial" charset="0"/>
                            </a:defRPr>
                          </a:lvl5pPr>
                          <a:lvl6pPr marL="2286000" algn="l" defTabSz="914400" rtl="0" eaLnBrk="1" latinLnBrk="0" hangingPunct="1">
                            <a:defRPr kern="1200">
                              <a:solidFill>
                                <a:srgbClr val="003366"/>
                              </a:solidFill>
                              <a:latin typeface="Arial" charset="0"/>
                            </a:defRPr>
                          </a:lvl6pPr>
                          <a:lvl7pPr marL="2743200" algn="l" defTabSz="914400" rtl="0" eaLnBrk="1" latinLnBrk="0" hangingPunct="1">
                            <a:defRPr kern="1200">
                              <a:solidFill>
                                <a:srgbClr val="003366"/>
                              </a:solidFill>
                              <a:latin typeface="Arial" charset="0"/>
                            </a:defRPr>
                          </a:lvl7pPr>
                          <a:lvl8pPr marL="3200400" algn="l" defTabSz="914400" rtl="0" eaLnBrk="1" latinLnBrk="0" hangingPunct="1">
                            <a:defRPr kern="1200">
                              <a:solidFill>
                                <a:srgbClr val="003366"/>
                              </a:solidFill>
                              <a:latin typeface="Arial" charset="0"/>
                            </a:defRPr>
                          </a:lvl8pPr>
                          <a:lvl9pPr marL="3657600" algn="l" defTabSz="914400" rtl="0" eaLnBrk="1" latinLnBrk="0" hangingPunct="1">
                            <a:defRPr kern="1200">
                              <a:solidFill>
                                <a:srgbClr val="003366"/>
                              </a:solidFill>
                              <a:latin typeface="Arial" charset="0"/>
                            </a:defRPr>
                          </a:lvl9pPr>
                        </a:lstStyle>
                        <a:p>
                          <a:r>
                            <a:rPr lang="it-IT">
                              <a:solidFill>
                                <a:srgbClr val="FF0000"/>
                              </a:solidFill>
                            </a:rPr>
                            <a:t>4100 ft (1250m)</a:t>
                          </a:r>
                        </a:p>
                      </a:txBody>
                      <a:useSpRect/>
                    </a:txSp>
                  </a:sp>
                  <a:sp>
                    <a:nvSpPr>
                      <a:cNvPr id="38920" name="CasellaDiTesto 7"/>
                      <a:cNvSpPr txBox="1">
                        <a:spLocks noChangeArrowheads="1"/>
                      </a:cNvSpPr>
                    </a:nvSpPr>
                    <a:spPr bwMode="auto">
                      <a:xfrm>
                        <a:off x="5715000" y="3733800"/>
                        <a:ext cx="1428750" cy="369888"/>
                      </a:xfrm>
                      <a:prstGeom prst="rect">
                        <a:avLst/>
                      </a:prstGeom>
                      <a:noFill/>
                      <a:ln w="9525">
                        <a:noFill/>
                        <a:miter lim="800000"/>
                        <a:headEnd/>
                        <a:tailEnd/>
                      </a:ln>
                    </a:spPr>
                    <a:txSp>
                      <a:txBody>
                        <a:bodyPr wrap="none">
                          <a:spAutoFit/>
                        </a:bodyPr>
                        <a:lstStyle>
                          <a:defPPr>
                            <a:defRPr lang="en-US"/>
                          </a:defPPr>
                          <a:lvl1pPr algn="l" rtl="0" eaLnBrk="0" fontAlgn="base" hangingPunct="0">
                            <a:spcBef>
                              <a:spcPct val="0"/>
                            </a:spcBef>
                            <a:spcAft>
                              <a:spcPct val="0"/>
                            </a:spcAft>
                            <a:defRPr kern="1200">
                              <a:solidFill>
                                <a:srgbClr val="003366"/>
                              </a:solidFill>
                              <a:latin typeface="Arial" charset="0"/>
                            </a:defRPr>
                          </a:lvl1pPr>
                          <a:lvl2pPr marL="457200" algn="l" rtl="0" eaLnBrk="0" fontAlgn="base" hangingPunct="0">
                            <a:spcBef>
                              <a:spcPct val="0"/>
                            </a:spcBef>
                            <a:spcAft>
                              <a:spcPct val="0"/>
                            </a:spcAft>
                            <a:defRPr kern="1200">
                              <a:solidFill>
                                <a:srgbClr val="003366"/>
                              </a:solidFill>
                              <a:latin typeface="Arial" charset="0"/>
                            </a:defRPr>
                          </a:lvl2pPr>
                          <a:lvl3pPr marL="914400" algn="l" rtl="0" eaLnBrk="0" fontAlgn="base" hangingPunct="0">
                            <a:spcBef>
                              <a:spcPct val="0"/>
                            </a:spcBef>
                            <a:spcAft>
                              <a:spcPct val="0"/>
                            </a:spcAft>
                            <a:defRPr kern="1200">
                              <a:solidFill>
                                <a:srgbClr val="003366"/>
                              </a:solidFill>
                              <a:latin typeface="Arial" charset="0"/>
                            </a:defRPr>
                          </a:lvl3pPr>
                          <a:lvl4pPr marL="1371600" algn="l" rtl="0" eaLnBrk="0" fontAlgn="base" hangingPunct="0">
                            <a:spcBef>
                              <a:spcPct val="0"/>
                            </a:spcBef>
                            <a:spcAft>
                              <a:spcPct val="0"/>
                            </a:spcAft>
                            <a:defRPr kern="1200">
                              <a:solidFill>
                                <a:srgbClr val="003366"/>
                              </a:solidFill>
                              <a:latin typeface="Arial" charset="0"/>
                            </a:defRPr>
                          </a:lvl4pPr>
                          <a:lvl5pPr marL="1828800" algn="l" rtl="0" eaLnBrk="0" fontAlgn="base" hangingPunct="0">
                            <a:spcBef>
                              <a:spcPct val="0"/>
                            </a:spcBef>
                            <a:spcAft>
                              <a:spcPct val="0"/>
                            </a:spcAft>
                            <a:defRPr kern="1200">
                              <a:solidFill>
                                <a:srgbClr val="003366"/>
                              </a:solidFill>
                              <a:latin typeface="Arial" charset="0"/>
                            </a:defRPr>
                          </a:lvl5pPr>
                          <a:lvl6pPr marL="2286000" algn="l" defTabSz="914400" rtl="0" eaLnBrk="1" latinLnBrk="0" hangingPunct="1">
                            <a:defRPr kern="1200">
                              <a:solidFill>
                                <a:srgbClr val="003366"/>
                              </a:solidFill>
                              <a:latin typeface="Arial" charset="0"/>
                            </a:defRPr>
                          </a:lvl6pPr>
                          <a:lvl7pPr marL="2743200" algn="l" defTabSz="914400" rtl="0" eaLnBrk="1" latinLnBrk="0" hangingPunct="1">
                            <a:defRPr kern="1200">
                              <a:solidFill>
                                <a:srgbClr val="003366"/>
                              </a:solidFill>
                              <a:latin typeface="Arial" charset="0"/>
                            </a:defRPr>
                          </a:lvl7pPr>
                          <a:lvl8pPr marL="3200400" algn="l" defTabSz="914400" rtl="0" eaLnBrk="1" latinLnBrk="0" hangingPunct="1">
                            <a:defRPr kern="1200">
                              <a:solidFill>
                                <a:srgbClr val="003366"/>
                              </a:solidFill>
                              <a:latin typeface="Arial" charset="0"/>
                            </a:defRPr>
                          </a:lvl8pPr>
                          <a:lvl9pPr marL="3657600" algn="l" defTabSz="914400" rtl="0" eaLnBrk="1" latinLnBrk="0" hangingPunct="1">
                            <a:defRPr kern="1200">
                              <a:solidFill>
                                <a:srgbClr val="003366"/>
                              </a:solidFill>
                              <a:latin typeface="Arial" charset="0"/>
                            </a:defRPr>
                          </a:lvl9pPr>
                        </a:lstStyle>
                        <a:p>
                          <a:pPr>
                            <a:tabLst>
                              <a:tab pos="82550" algn="l"/>
                            </a:tabLst>
                          </a:pPr>
                          <a:r>
                            <a:rPr lang="it-IT">
                              <a:solidFill>
                                <a:srgbClr val="4C1900"/>
                              </a:solidFill>
                            </a:rPr>
                            <a:t>300 ft (91m)</a:t>
                          </a:r>
                        </a:p>
                      </a:txBody>
                      <a:useSpRect/>
                    </a:txSp>
                  </a:sp>
                  <a:sp>
                    <a:nvSpPr>
                      <a:cNvPr id="38921" name="CasellaDiTesto 8"/>
                      <a:cNvSpPr txBox="1">
                        <a:spLocks noChangeArrowheads="1"/>
                      </a:cNvSpPr>
                    </a:nvSpPr>
                    <a:spPr bwMode="auto">
                      <a:xfrm>
                        <a:off x="5410200" y="4572000"/>
                        <a:ext cx="1557338" cy="369888"/>
                      </a:xfrm>
                      <a:prstGeom prst="rect">
                        <a:avLst/>
                      </a:prstGeom>
                      <a:noFill/>
                      <a:ln w="9525">
                        <a:noFill/>
                        <a:miter lim="800000"/>
                        <a:headEnd/>
                        <a:tailEnd/>
                      </a:ln>
                    </a:spPr>
                    <a:txSp>
                      <a:txBody>
                        <a:bodyPr wrap="none">
                          <a:spAutoFit/>
                        </a:bodyPr>
                        <a:lstStyle>
                          <a:defPPr>
                            <a:defRPr lang="en-US"/>
                          </a:defPPr>
                          <a:lvl1pPr algn="l" rtl="0" eaLnBrk="0" fontAlgn="base" hangingPunct="0">
                            <a:spcBef>
                              <a:spcPct val="0"/>
                            </a:spcBef>
                            <a:spcAft>
                              <a:spcPct val="0"/>
                            </a:spcAft>
                            <a:defRPr kern="1200">
                              <a:solidFill>
                                <a:srgbClr val="003366"/>
                              </a:solidFill>
                              <a:latin typeface="Arial" charset="0"/>
                            </a:defRPr>
                          </a:lvl1pPr>
                          <a:lvl2pPr marL="457200" algn="l" rtl="0" eaLnBrk="0" fontAlgn="base" hangingPunct="0">
                            <a:spcBef>
                              <a:spcPct val="0"/>
                            </a:spcBef>
                            <a:spcAft>
                              <a:spcPct val="0"/>
                            </a:spcAft>
                            <a:defRPr kern="1200">
                              <a:solidFill>
                                <a:srgbClr val="003366"/>
                              </a:solidFill>
                              <a:latin typeface="Arial" charset="0"/>
                            </a:defRPr>
                          </a:lvl2pPr>
                          <a:lvl3pPr marL="914400" algn="l" rtl="0" eaLnBrk="0" fontAlgn="base" hangingPunct="0">
                            <a:spcBef>
                              <a:spcPct val="0"/>
                            </a:spcBef>
                            <a:spcAft>
                              <a:spcPct val="0"/>
                            </a:spcAft>
                            <a:defRPr kern="1200">
                              <a:solidFill>
                                <a:srgbClr val="003366"/>
                              </a:solidFill>
                              <a:latin typeface="Arial" charset="0"/>
                            </a:defRPr>
                          </a:lvl3pPr>
                          <a:lvl4pPr marL="1371600" algn="l" rtl="0" eaLnBrk="0" fontAlgn="base" hangingPunct="0">
                            <a:spcBef>
                              <a:spcPct val="0"/>
                            </a:spcBef>
                            <a:spcAft>
                              <a:spcPct val="0"/>
                            </a:spcAft>
                            <a:defRPr kern="1200">
                              <a:solidFill>
                                <a:srgbClr val="003366"/>
                              </a:solidFill>
                              <a:latin typeface="Arial" charset="0"/>
                            </a:defRPr>
                          </a:lvl4pPr>
                          <a:lvl5pPr marL="1828800" algn="l" rtl="0" eaLnBrk="0" fontAlgn="base" hangingPunct="0">
                            <a:spcBef>
                              <a:spcPct val="0"/>
                            </a:spcBef>
                            <a:spcAft>
                              <a:spcPct val="0"/>
                            </a:spcAft>
                            <a:defRPr kern="1200">
                              <a:solidFill>
                                <a:srgbClr val="003366"/>
                              </a:solidFill>
                              <a:latin typeface="Arial" charset="0"/>
                            </a:defRPr>
                          </a:lvl5pPr>
                          <a:lvl6pPr marL="2286000" algn="l" defTabSz="914400" rtl="0" eaLnBrk="1" latinLnBrk="0" hangingPunct="1">
                            <a:defRPr kern="1200">
                              <a:solidFill>
                                <a:srgbClr val="003366"/>
                              </a:solidFill>
                              <a:latin typeface="Arial" charset="0"/>
                            </a:defRPr>
                          </a:lvl6pPr>
                          <a:lvl7pPr marL="2743200" algn="l" defTabSz="914400" rtl="0" eaLnBrk="1" latinLnBrk="0" hangingPunct="1">
                            <a:defRPr kern="1200">
                              <a:solidFill>
                                <a:srgbClr val="003366"/>
                              </a:solidFill>
                              <a:latin typeface="Arial" charset="0"/>
                            </a:defRPr>
                          </a:lvl7pPr>
                          <a:lvl8pPr marL="3200400" algn="l" defTabSz="914400" rtl="0" eaLnBrk="1" latinLnBrk="0" hangingPunct="1">
                            <a:defRPr kern="1200">
                              <a:solidFill>
                                <a:srgbClr val="003366"/>
                              </a:solidFill>
                              <a:latin typeface="Arial" charset="0"/>
                            </a:defRPr>
                          </a:lvl8pPr>
                          <a:lvl9pPr marL="3657600" algn="l" defTabSz="914400" rtl="0" eaLnBrk="1" latinLnBrk="0" hangingPunct="1">
                            <a:defRPr kern="1200">
                              <a:solidFill>
                                <a:srgbClr val="003366"/>
                              </a:solidFill>
                              <a:latin typeface="Arial" charset="0"/>
                            </a:defRPr>
                          </a:lvl9pPr>
                        </a:lstStyle>
                        <a:p>
                          <a:r>
                            <a:rPr lang="it-IT">
                              <a:solidFill>
                                <a:srgbClr val="00B050"/>
                              </a:solidFill>
                            </a:rPr>
                            <a:t>800 ft (244m)</a:t>
                          </a:r>
                        </a:p>
                      </a:txBody>
                      <a:useSpRect/>
                    </a:txSp>
                  </a:sp>
                  <a:sp>
                    <a:nvSpPr>
                      <a:cNvPr id="38922" name="CasellaDiTesto 9"/>
                      <a:cNvSpPr txBox="1">
                        <a:spLocks noChangeArrowheads="1"/>
                      </a:cNvSpPr>
                    </a:nvSpPr>
                    <a:spPr bwMode="auto">
                      <a:xfrm>
                        <a:off x="533400" y="1905000"/>
                        <a:ext cx="3649663" cy="307975"/>
                      </a:xfrm>
                      <a:prstGeom prst="rect">
                        <a:avLst/>
                      </a:prstGeom>
                      <a:noFill/>
                      <a:ln w="9525">
                        <a:noFill/>
                        <a:miter lim="800000"/>
                        <a:headEnd/>
                        <a:tailEnd/>
                      </a:ln>
                    </a:spPr>
                    <a:txSp>
                      <a:txBody>
                        <a:bodyPr wrap="none">
                          <a:spAutoFit/>
                        </a:bodyPr>
                        <a:lstStyle>
                          <a:defPPr>
                            <a:defRPr lang="en-US"/>
                          </a:defPPr>
                          <a:lvl1pPr algn="l" rtl="0" eaLnBrk="0" fontAlgn="base" hangingPunct="0">
                            <a:spcBef>
                              <a:spcPct val="0"/>
                            </a:spcBef>
                            <a:spcAft>
                              <a:spcPct val="0"/>
                            </a:spcAft>
                            <a:defRPr kern="1200">
                              <a:solidFill>
                                <a:srgbClr val="003366"/>
                              </a:solidFill>
                              <a:latin typeface="Arial" charset="0"/>
                            </a:defRPr>
                          </a:lvl1pPr>
                          <a:lvl2pPr marL="457200" algn="l" rtl="0" eaLnBrk="0" fontAlgn="base" hangingPunct="0">
                            <a:spcBef>
                              <a:spcPct val="0"/>
                            </a:spcBef>
                            <a:spcAft>
                              <a:spcPct val="0"/>
                            </a:spcAft>
                            <a:defRPr kern="1200">
                              <a:solidFill>
                                <a:srgbClr val="003366"/>
                              </a:solidFill>
                              <a:latin typeface="Arial" charset="0"/>
                            </a:defRPr>
                          </a:lvl2pPr>
                          <a:lvl3pPr marL="914400" algn="l" rtl="0" eaLnBrk="0" fontAlgn="base" hangingPunct="0">
                            <a:spcBef>
                              <a:spcPct val="0"/>
                            </a:spcBef>
                            <a:spcAft>
                              <a:spcPct val="0"/>
                            </a:spcAft>
                            <a:defRPr kern="1200">
                              <a:solidFill>
                                <a:srgbClr val="003366"/>
                              </a:solidFill>
                              <a:latin typeface="Arial" charset="0"/>
                            </a:defRPr>
                          </a:lvl3pPr>
                          <a:lvl4pPr marL="1371600" algn="l" rtl="0" eaLnBrk="0" fontAlgn="base" hangingPunct="0">
                            <a:spcBef>
                              <a:spcPct val="0"/>
                            </a:spcBef>
                            <a:spcAft>
                              <a:spcPct val="0"/>
                            </a:spcAft>
                            <a:defRPr kern="1200">
                              <a:solidFill>
                                <a:srgbClr val="003366"/>
                              </a:solidFill>
                              <a:latin typeface="Arial" charset="0"/>
                            </a:defRPr>
                          </a:lvl4pPr>
                          <a:lvl5pPr marL="1828800" algn="l" rtl="0" eaLnBrk="0" fontAlgn="base" hangingPunct="0">
                            <a:spcBef>
                              <a:spcPct val="0"/>
                            </a:spcBef>
                            <a:spcAft>
                              <a:spcPct val="0"/>
                            </a:spcAft>
                            <a:defRPr kern="1200">
                              <a:solidFill>
                                <a:srgbClr val="003366"/>
                              </a:solidFill>
                              <a:latin typeface="Arial" charset="0"/>
                            </a:defRPr>
                          </a:lvl5pPr>
                          <a:lvl6pPr marL="2286000" algn="l" defTabSz="914400" rtl="0" eaLnBrk="1" latinLnBrk="0" hangingPunct="1">
                            <a:defRPr kern="1200">
                              <a:solidFill>
                                <a:srgbClr val="003366"/>
                              </a:solidFill>
                              <a:latin typeface="Arial" charset="0"/>
                            </a:defRPr>
                          </a:lvl6pPr>
                          <a:lvl7pPr marL="2743200" algn="l" defTabSz="914400" rtl="0" eaLnBrk="1" latinLnBrk="0" hangingPunct="1">
                            <a:defRPr kern="1200">
                              <a:solidFill>
                                <a:srgbClr val="003366"/>
                              </a:solidFill>
                              <a:latin typeface="Arial" charset="0"/>
                            </a:defRPr>
                          </a:lvl7pPr>
                          <a:lvl8pPr marL="3200400" algn="l" defTabSz="914400" rtl="0" eaLnBrk="1" latinLnBrk="0" hangingPunct="1">
                            <a:defRPr kern="1200">
                              <a:solidFill>
                                <a:srgbClr val="003366"/>
                              </a:solidFill>
                              <a:latin typeface="Arial" charset="0"/>
                            </a:defRPr>
                          </a:lvl8pPr>
                          <a:lvl9pPr marL="3657600" algn="l" defTabSz="914400" rtl="0" eaLnBrk="1" latinLnBrk="0" hangingPunct="1">
                            <a:defRPr kern="1200">
                              <a:solidFill>
                                <a:srgbClr val="003366"/>
                              </a:solidFill>
                              <a:latin typeface="Arial" charset="0"/>
                            </a:defRPr>
                          </a:lvl9pPr>
                        </a:lstStyle>
                        <a:p>
                          <a:r>
                            <a:rPr lang="it-IT" sz="1400" b="1">
                              <a:solidFill>
                                <a:srgbClr val="C00000"/>
                              </a:solidFill>
                            </a:rPr>
                            <a:t>Homestake seismic array at August 2009</a:t>
                          </a:r>
                        </a:p>
                      </a:txBody>
                      <a:useSpRect/>
                    </a:txSp>
                  </a:sp>
                  <a:sp>
                    <a:nvSpPr>
                      <a:cNvPr id="11" name="Ovale 10"/>
                      <a:cNvSpPr/>
                    </a:nvSpPr>
                    <a:spPr bwMode="auto">
                      <a:xfrm>
                        <a:off x="3962400" y="4038600"/>
                        <a:ext cx="1524000" cy="914400"/>
                      </a:xfrm>
                      <a:prstGeom prst="ellipse">
                        <a:avLst/>
                      </a:prstGeom>
                      <a:solidFill>
                        <a:srgbClr val="003366">
                          <a:lumMod val="75000"/>
                          <a:alpha val="17000"/>
                        </a:srgbClr>
                      </a:solidFill>
                      <a:ln w="9525" cap="flat" cmpd="sng" algn="ctr">
                        <a:noFill/>
                        <a:prstDash val="solid"/>
                        <a:round/>
                        <a:headEnd type="none" w="med" len="med"/>
                        <a:tailEnd type="none" w="med" len="med"/>
                      </a:ln>
                      <a:effectLst/>
                    </a:spPr>
                    <a:txSp>
                      <a:txBody>
                        <a:bodyPr/>
                        <a:lstStyle>
                          <a:defPPr>
                            <a:defRPr lang="en-US"/>
                          </a:defPPr>
                          <a:lvl1pPr algn="l" rtl="0" eaLnBrk="0" fontAlgn="base" hangingPunct="0">
                            <a:spcBef>
                              <a:spcPct val="0"/>
                            </a:spcBef>
                            <a:spcAft>
                              <a:spcPct val="0"/>
                            </a:spcAft>
                            <a:defRPr kern="1200">
                              <a:solidFill>
                                <a:srgbClr val="003366"/>
                              </a:solidFill>
                              <a:latin typeface="Arial" charset="0"/>
                            </a:defRPr>
                          </a:lvl1pPr>
                          <a:lvl2pPr marL="457200" algn="l" rtl="0" eaLnBrk="0" fontAlgn="base" hangingPunct="0">
                            <a:spcBef>
                              <a:spcPct val="0"/>
                            </a:spcBef>
                            <a:spcAft>
                              <a:spcPct val="0"/>
                            </a:spcAft>
                            <a:defRPr kern="1200">
                              <a:solidFill>
                                <a:srgbClr val="003366"/>
                              </a:solidFill>
                              <a:latin typeface="Arial" charset="0"/>
                            </a:defRPr>
                          </a:lvl2pPr>
                          <a:lvl3pPr marL="914400" algn="l" rtl="0" eaLnBrk="0" fontAlgn="base" hangingPunct="0">
                            <a:spcBef>
                              <a:spcPct val="0"/>
                            </a:spcBef>
                            <a:spcAft>
                              <a:spcPct val="0"/>
                            </a:spcAft>
                            <a:defRPr kern="1200">
                              <a:solidFill>
                                <a:srgbClr val="003366"/>
                              </a:solidFill>
                              <a:latin typeface="Arial" charset="0"/>
                            </a:defRPr>
                          </a:lvl3pPr>
                          <a:lvl4pPr marL="1371600" algn="l" rtl="0" eaLnBrk="0" fontAlgn="base" hangingPunct="0">
                            <a:spcBef>
                              <a:spcPct val="0"/>
                            </a:spcBef>
                            <a:spcAft>
                              <a:spcPct val="0"/>
                            </a:spcAft>
                            <a:defRPr kern="1200">
                              <a:solidFill>
                                <a:srgbClr val="003366"/>
                              </a:solidFill>
                              <a:latin typeface="Arial" charset="0"/>
                            </a:defRPr>
                          </a:lvl4pPr>
                          <a:lvl5pPr marL="1828800" algn="l" rtl="0" eaLnBrk="0" fontAlgn="base" hangingPunct="0">
                            <a:spcBef>
                              <a:spcPct val="0"/>
                            </a:spcBef>
                            <a:spcAft>
                              <a:spcPct val="0"/>
                            </a:spcAft>
                            <a:defRPr kern="1200">
                              <a:solidFill>
                                <a:srgbClr val="003366"/>
                              </a:solidFill>
                              <a:latin typeface="Arial" charset="0"/>
                            </a:defRPr>
                          </a:lvl5pPr>
                          <a:lvl6pPr marL="2286000" algn="l" defTabSz="914400" rtl="0" eaLnBrk="1" latinLnBrk="0" hangingPunct="1">
                            <a:defRPr kern="1200">
                              <a:solidFill>
                                <a:srgbClr val="003366"/>
                              </a:solidFill>
                              <a:latin typeface="Arial" charset="0"/>
                            </a:defRPr>
                          </a:lvl6pPr>
                          <a:lvl7pPr marL="2743200" algn="l" defTabSz="914400" rtl="0" eaLnBrk="1" latinLnBrk="0" hangingPunct="1">
                            <a:defRPr kern="1200">
                              <a:solidFill>
                                <a:srgbClr val="003366"/>
                              </a:solidFill>
                              <a:latin typeface="Arial" charset="0"/>
                            </a:defRPr>
                          </a:lvl7pPr>
                          <a:lvl8pPr marL="3200400" algn="l" defTabSz="914400" rtl="0" eaLnBrk="1" latinLnBrk="0" hangingPunct="1">
                            <a:defRPr kern="1200">
                              <a:solidFill>
                                <a:srgbClr val="003366"/>
                              </a:solidFill>
                              <a:latin typeface="Arial" charset="0"/>
                            </a:defRPr>
                          </a:lvl8pPr>
                          <a:lvl9pPr marL="3657600" algn="l" defTabSz="914400" rtl="0" eaLnBrk="1" latinLnBrk="0" hangingPunct="1">
                            <a:defRPr kern="1200">
                              <a:solidFill>
                                <a:srgbClr val="003366"/>
                              </a:solidFill>
                              <a:latin typeface="Arial" charset="0"/>
                            </a:defRPr>
                          </a:lvl9pPr>
                        </a:lstStyle>
                        <a:p>
                          <a:pPr>
                            <a:defRPr/>
                          </a:pPr>
                          <a:endParaRPr lang="it-IT"/>
                        </a:p>
                      </a:txBody>
                      <a:useSpRect/>
                    </a:txSp>
                  </a:sp>
                  <a:sp>
                    <a:nvSpPr>
                      <a:cNvPr id="38924" name="Ovale 11"/>
                      <a:cNvSpPr>
                        <a:spLocks noChangeArrowheads="1"/>
                      </a:cNvSpPr>
                    </a:nvSpPr>
                    <a:spPr bwMode="auto">
                      <a:xfrm>
                        <a:off x="6934200" y="3886200"/>
                        <a:ext cx="609600" cy="381000"/>
                      </a:xfrm>
                      <a:prstGeom prst="ellipse">
                        <a:avLst/>
                      </a:prstGeom>
                      <a:solidFill>
                        <a:srgbClr val="C00000">
                          <a:alpha val="16862"/>
                        </a:srgbClr>
                      </a:solidFill>
                      <a:ln w="9525" algn="ctr">
                        <a:noFill/>
                        <a:round/>
                        <a:headEnd/>
                        <a:tailEnd/>
                      </a:ln>
                    </a:spPr>
                    <a:txSp>
                      <a:txBody>
                        <a:bodyPr/>
                        <a:lstStyle>
                          <a:defPPr>
                            <a:defRPr lang="en-US"/>
                          </a:defPPr>
                          <a:lvl1pPr algn="l" rtl="0" eaLnBrk="0" fontAlgn="base" hangingPunct="0">
                            <a:spcBef>
                              <a:spcPct val="0"/>
                            </a:spcBef>
                            <a:spcAft>
                              <a:spcPct val="0"/>
                            </a:spcAft>
                            <a:defRPr kern="1200">
                              <a:solidFill>
                                <a:srgbClr val="003366"/>
                              </a:solidFill>
                              <a:latin typeface="Arial" charset="0"/>
                            </a:defRPr>
                          </a:lvl1pPr>
                          <a:lvl2pPr marL="457200" algn="l" rtl="0" eaLnBrk="0" fontAlgn="base" hangingPunct="0">
                            <a:spcBef>
                              <a:spcPct val="0"/>
                            </a:spcBef>
                            <a:spcAft>
                              <a:spcPct val="0"/>
                            </a:spcAft>
                            <a:defRPr kern="1200">
                              <a:solidFill>
                                <a:srgbClr val="003366"/>
                              </a:solidFill>
                              <a:latin typeface="Arial" charset="0"/>
                            </a:defRPr>
                          </a:lvl2pPr>
                          <a:lvl3pPr marL="914400" algn="l" rtl="0" eaLnBrk="0" fontAlgn="base" hangingPunct="0">
                            <a:spcBef>
                              <a:spcPct val="0"/>
                            </a:spcBef>
                            <a:spcAft>
                              <a:spcPct val="0"/>
                            </a:spcAft>
                            <a:defRPr kern="1200">
                              <a:solidFill>
                                <a:srgbClr val="003366"/>
                              </a:solidFill>
                              <a:latin typeface="Arial" charset="0"/>
                            </a:defRPr>
                          </a:lvl3pPr>
                          <a:lvl4pPr marL="1371600" algn="l" rtl="0" eaLnBrk="0" fontAlgn="base" hangingPunct="0">
                            <a:spcBef>
                              <a:spcPct val="0"/>
                            </a:spcBef>
                            <a:spcAft>
                              <a:spcPct val="0"/>
                            </a:spcAft>
                            <a:defRPr kern="1200">
                              <a:solidFill>
                                <a:srgbClr val="003366"/>
                              </a:solidFill>
                              <a:latin typeface="Arial" charset="0"/>
                            </a:defRPr>
                          </a:lvl4pPr>
                          <a:lvl5pPr marL="1828800" algn="l" rtl="0" eaLnBrk="0" fontAlgn="base" hangingPunct="0">
                            <a:spcBef>
                              <a:spcPct val="0"/>
                            </a:spcBef>
                            <a:spcAft>
                              <a:spcPct val="0"/>
                            </a:spcAft>
                            <a:defRPr kern="1200">
                              <a:solidFill>
                                <a:srgbClr val="003366"/>
                              </a:solidFill>
                              <a:latin typeface="Arial" charset="0"/>
                            </a:defRPr>
                          </a:lvl5pPr>
                          <a:lvl6pPr marL="2286000" algn="l" defTabSz="914400" rtl="0" eaLnBrk="1" latinLnBrk="0" hangingPunct="1">
                            <a:defRPr kern="1200">
                              <a:solidFill>
                                <a:srgbClr val="003366"/>
                              </a:solidFill>
                              <a:latin typeface="Arial" charset="0"/>
                            </a:defRPr>
                          </a:lvl6pPr>
                          <a:lvl7pPr marL="2743200" algn="l" defTabSz="914400" rtl="0" eaLnBrk="1" latinLnBrk="0" hangingPunct="1">
                            <a:defRPr kern="1200">
                              <a:solidFill>
                                <a:srgbClr val="003366"/>
                              </a:solidFill>
                              <a:latin typeface="Arial" charset="0"/>
                            </a:defRPr>
                          </a:lvl7pPr>
                          <a:lvl8pPr marL="3200400" algn="l" defTabSz="914400" rtl="0" eaLnBrk="1" latinLnBrk="0" hangingPunct="1">
                            <a:defRPr kern="1200">
                              <a:solidFill>
                                <a:srgbClr val="003366"/>
                              </a:solidFill>
                              <a:latin typeface="Arial" charset="0"/>
                            </a:defRPr>
                          </a:lvl8pPr>
                          <a:lvl9pPr marL="3657600" algn="l" defTabSz="914400" rtl="0" eaLnBrk="1" latinLnBrk="0" hangingPunct="1">
                            <a:defRPr kern="1200">
                              <a:solidFill>
                                <a:srgbClr val="003366"/>
                              </a:solidFill>
                              <a:latin typeface="Arial" charset="0"/>
                            </a:defRPr>
                          </a:lvl9pPr>
                        </a:lstStyle>
                        <a:p>
                          <a:endParaRPr lang="it-IT"/>
                        </a:p>
                      </a:txBody>
                      <a:useSpRect/>
                    </a:txSp>
                  </a:sp>
                  <a:cxnSp>
                    <a:nvCxnSpPr>
                      <a:cNvPr id="38925" name="Connettore 1 16"/>
                      <a:cNvCxnSpPr>
                        <a:cxnSpLocks noChangeShapeType="1"/>
                      </a:cNvCxnSpPr>
                    </a:nvCxnSpPr>
                    <a:spPr bwMode="auto">
                      <a:xfrm rot="5400000" flipH="1" flipV="1">
                        <a:off x="6629400" y="3124200"/>
                        <a:ext cx="1524000" cy="304800"/>
                      </a:xfrm>
                      <a:prstGeom prst="line">
                        <a:avLst/>
                      </a:prstGeom>
                      <a:noFill/>
                      <a:ln w="25400" algn="ctr">
                        <a:solidFill>
                          <a:srgbClr val="FF0000"/>
                        </a:solidFill>
                        <a:prstDash val="dash"/>
                        <a:round/>
                        <a:headEnd/>
                        <a:tailEnd/>
                      </a:ln>
                    </a:spPr>
                  </a:cxnSp>
                  <a:cxnSp>
                    <a:nvCxnSpPr>
                      <a:cNvPr id="38926" name="Connettore 1 18"/>
                      <a:cNvCxnSpPr>
                        <a:cxnSpLocks noChangeShapeType="1"/>
                      </a:cNvCxnSpPr>
                    </a:nvCxnSpPr>
                    <a:spPr bwMode="auto">
                      <a:xfrm rot="5400000" flipH="1" flipV="1">
                        <a:off x="6934200" y="2895600"/>
                        <a:ext cx="1447800" cy="685800"/>
                      </a:xfrm>
                      <a:prstGeom prst="line">
                        <a:avLst/>
                      </a:prstGeom>
                      <a:noFill/>
                      <a:ln w="25400" algn="ctr">
                        <a:solidFill>
                          <a:srgbClr val="FF0000"/>
                        </a:solidFill>
                        <a:prstDash val="dash"/>
                        <a:round/>
                        <a:headEnd/>
                        <a:tailEnd/>
                      </a:ln>
                    </a:spPr>
                  </a:cxnSp>
                  <a:sp>
                    <a:nvSpPr>
                      <a:cNvPr id="38927" name="Freccia bidirezionale orizzontale 24"/>
                      <a:cNvSpPr>
                        <a:spLocks noChangeArrowheads="1"/>
                      </a:cNvSpPr>
                    </a:nvSpPr>
                    <a:spPr bwMode="auto">
                      <a:xfrm>
                        <a:off x="7543800" y="2514600"/>
                        <a:ext cx="381000" cy="152400"/>
                      </a:xfrm>
                      <a:prstGeom prst="leftRightArrow">
                        <a:avLst>
                          <a:gd name="adj1" fmla="val 50000"/>
                          <a:gd name="adj2" fmla="val 50000"/>
                        </a:avLst>
                      </a:prstGeom>
                      <a:solidFill>
                        <a:srgbClr val="FF0000"/>
                      </a:solidFill>
                      <a:ln w="9525" algn="ctr">
                        <a:noFill/>
                        <a:round/>
                        <a:headEnd/>
                        <a:tailEnd/>
                      </a:ln>
                    </a:spPr>
                    <a:txSp>
                      <a:txBody>
                        <a:bodyPr/>
                        <a:lstStyle>
                          <a:defPPr>
                            <a:defRPr lang="en-US"/>
                          </a:defPPr>
                          <a:lvl1pPr algn="l" rtl="0" eaLnBrk="0" fontAlgn="base" hangingPunct="0">
                            <a:spcBef>
                              <a:spcPct val="0"/>
                            </a:spcBef>
                            <a:spcAft>
                              <a:spcPct val="0"/>
                            </a:spcAft>
                            <a:defRPr kern="1200">
                              <a:solidFill>
                                <a:srgbClr val="003366"/>
                              </a:solidFill>
                              <a:latin typeface="Arial" charset="0"/>
                            </a:defRPr>
                          </a:lvl1pPr>
                          <a:lvl2pPr marL="457200" algn="l" rtl="0" eaLnBrk="0" fontAlgn="base" hangingPunct="0">
                            <a:spcBef>
                              <a:spcPct val="0"/>
                            </a:spcBef>
                            <a:spcAft>
                              <a:spcPct val="0"/>
                            </a:spcAft>
                            <a:defRPr kern="1200">
                              <a:solidFill>
                                <a:srgbClr val="003366"/>
                              </a:solidFill>
                              <a:latin typeface="Arial" charset="0"/>
                            </a:defRPr>
                          </a:lvl2pPr>
                          <a:lvl3pPr marL="914400" algn="l" rtl="0" eaLnBrk="0" fontAlgn="base" hangingPunct="0">
                            <a:spcBef>
                              <a:spcPct val="0"/>
                            </a:spcBef>
                            <a:spcAft>
                              <a:spcPct val="0"/>
                            </a:spcAft>
                            <a:defRPr kern="1200">
                              <a:solidFill>
                                <a:srgbClr val="003366"/>
                              </a:solidFill>
                              <a:latin typeface="Arial" charset="0"/>
                            </a:defRPr>
                          </a:lvl3pPr>
                          <a:lvl4pPr marL="1371600" algn="l" rtl="0" eaLnBrk="0" fontAlgn="base" hangingPunct="0">
                            <a:spcBef>
                              <a:spcPct val="0"/>
                            </a:spcBef>
                            <a:spcAft>
                              <a:spcPct val="0"/>
                            </a:spcAft>
                            <a:defRPr kern="1200">
                              <a:solidFill>
                                <a:srgbClr val="003366"/>
                              </a:solidFill>
                              <a:latin typeface="Arial" charset="0"/>
                            </a:defRPr>
                          </a:lvl4pPr>
                          <a:lvl5pPr marL="1828800" algn="l" rtl="0" eaLnBrk="0" fontAlgn="base" hangingPunct="0">
                            <a:spcBef>
                              <a:spcPct val="0"/>
                            </a:spcBef>
                            <a:spcAft>
                              <a:spcPct val="0"/>
                            </a:spcAft>
                            <a:defRPr kern="1200">
                              <a:solidFill>
                                <a:srgbClr val="003366"/>
                              </a:solidFill>
                              <a:latin typeface="Arial" charset="0"/>
                            </a:defRPr>
                          </a:lvl5pPr>
                          <a:lvl6pPr marL="2286000" algn="l" defTabSz="914400" rtl="0" eaLnBrk="1" latinLnBrk="0" hangingPunct="1">
                            <a:defRPr kern="1200">
                              <a:solidFill>
                                <a:srgbClr val="003366"/>
                              </a:solidFill>
                              <a:latin typeface="Arial" charset="0"/>
                            </a:defRPr>
                          </a:lvl6pPr>
                          <a:lvl7pPr marL="2743200" algn="l" defTabSz="914400" rtl="0" eaLnBrk="1" latinLnBrk="0" hangingPunct="1">
                            <a:defRPr kern="1200">
                              <a:solidFill>
                                <a:srgbClr val="003366"/>
                              </a:solidFill>
                              <a:latin typeface="Arial" charset="0"/>
                            </a:defRPr>
                          </a:lvl7pPr>
                          <a:lvl8pPr marL="3200400" algn="l" defTabSz="914400" rtl="0" eaLnBrk="1" latinLnBrk="0" hangingPunct="1">
                            <a:defRPr kern="1200">
                              <a:solidFill>
                                <a:srgbClr val="003366"/>
                              </a:solidFill>
                              <a:latin typeface="Arial" charset="0"/>
                            </a:defRPr>
                          </a:lvl8pPr>
                          <a:lvl9pPr marL="3657600" algn="l" defTabSz="914400" rtl="0" eaLnBrk="1" latinLnBrk="0" hangingPunct="1">
                            <a:defRPr kern="1200">
                              <a:solidFill>
                                <a:srgbClr val="003366"/>
                              </a:solidFill>
                              <a:latin typeface="Arial" charset="0"/>
                            </a:defRPr>
                          </a:lvl9pPr>
                        </a:lstStyle>
                        <a:p>
                          <a:endParaRPr lang="it-IT"/>
                        </a:p>
                      </a:txBody>
                      <a:useSpRect/>
                    </a:txSp>
                  </a:sp>
                  <a:sp>
                    <a:nvSpPr>
                      <a:cNvPr id="38928" name="CasellaDiTesto 25"/>
                      <a:cNvSpPr txBox="1">
                        <a:spLocks noChangeArrowheads="1"/>
                      </a:cNvSpPr>
                    </a:nvSpPr>
                    <a:spPr bwMode="auto">
                      <a:xfrm>
                        <a:off x="7467600" y="2209800"/>
                        <a:ext cx="584200" cy="338138"/>
                      </a:xfrm>
                      <a:prstGeom prst="rect">
                        <a:avLst/>
                      </a:prstGeom>
                      <a:noFill/>
                      <a:ln w="9525">
                        <a:noFill/>
                        <a:miter lim="800000"/>
                        <a:headEnd/>
                        <a:tailEnd/>
                      </a:ln>
                    </a:spPr>
                    <a:txSp>
                      <a:txBody>
                        <a:bodyPr wrap="none">
                          <a:spAutoFit/>
                        </a:bodyPr>
                        <a:lstStyle>
                          <a:defPPr>
                            <a:defRPr lang="en-US"/>
                          </a:defPPr>
                          <a:lvl1pPr algn="l" rtl="0" eaLnBrk="0" fontAlgn="base" hangingPunct="0">
                            <a:spcBef>
                              <a:spcPct val="0"/>
                            </a:spcBef>
                            <a:spcAft>
                              <a:spcPct val="0"/>
                            </a:spcAft>
                            <a:defRPr kern="1200">
                              <a:solidFill>
                                <a:srgbClr val="003366"/>
                              </a:solidFill>
                              <a:latin typeface="Arial" charset="0"/>
                            </a:defRPr>
                          </a:lvl1pPr>
                          <a:lvl2pPr marL="457200" algn="l" rtl="0" eaLnBrk="0" fontAlgn="base" hangingPunct="0">
                            <a:spcBef>
                              <a:spcPct val="0"/>
                            </a:spcBef>
                            <a:spcAft>
                              <a:spcPct val="0"/>
                            </a:spcAft>
                            <a:defRPr kern="1200">
                              <a:solidFill>
                                <a:srgbClr val="003366"/>
                              </a:solidFill>
                              <a:latin typeface="Arial" charset="0"/>
                            </a:defRPr>
                          </a:lvl2pPr>
                          <a:lvl3pPr marL="914400" algn="l" rtl="0" eaLnBrk="0" fontAlgn="base" hangingPunct="0">
                            <a:spcBef>
                              <a:spcPct val="0"/>
                            </a:spcBef>
                            <a:spcAft>
                              <a:spcPct val="0"/>
                            </a:spcAft>
                            <a:defRPr kern="1200">
                              <a:solidFill>
                                <a:srgbClr val="003366"/>
                              </a:solidFill>
                              <a:latin typeface="Arial" charset="0"/>
                            </a:defRPr>
                          </a:lvl3pPr>
                          <a:lvl4pPr marL="1371600" algn="l" rtl="0" eaLnBrk="0" fontAlgn="base" hangingPunct="0">
                            <a:spcBef>
                              <a:spcPct val="0"/>
                            </a:spcBef>
                            <a:spcAft>
                              <a:spcPct val="0"/>
                            </a:spcAft>
                            <a:defRPr kern="1200">
                              <a:solidFill>
                                <a:srgbClr val="003366"/>
                              </a:solidFill>
                              <a:latin typeface="Arial" charset="0"/>
                            </a:defRPr>
                          </a:lvl4pPr>
                          <a:lvl5pPr marL="1828800" algn="l" rtl="0" eaLnBrk="0" fontAlgn="base" hangingPunct="0">
                            <a:spcBef>
                              <a:spcPct val="0"/>
                            </a:spcBef>
                            <a:spcAft>
                              <a:spcPct val="0"/>
                            </a:spcAft>
                            <a:defRPr kern="1200">
                              <a:solidFill>
                                <a:srgbClr val="003366"/>
                              </a:solidFill>
                              <a:latin typeface="Arial" charset="0"/>
                            </a:defRPr>
                          </a:lvl5pPr>
                          <a:lvl6pPr marL="2286000" algn="l" defTabSz="914400" rtl="0" eaLnBrk="1" latinLnBrk="0" hangingPunct="1">
                            <a:defRPr kern="1200">
                              <a:solidFill>
                                <a:srgbClr val="003366"/>
                              </a:solidFill>
                              <a:latin typeface="Arial" charset="0"/>
                            </a:defRPr>
                          </a:lvl6pPr>
                          <a:lvl7pPr marL="2743200" algn="l" defTabSz="914400" rtl="0" eaLnBrk="1" latinLnBrk="0" hangingPunct="1">
                            <a:defRPr kern="1200">
                              <a:solidFill>
                                <a:srgbClr val="003366"/>
                              </a:solidFill>
                              <a:latin typeface="Arial" charset="0"/>
                            </a:defRPr>
                          </a:lvl7pPr>
                          <a:lvl8pPr marL="3200400" algn="l" defTabSz="914400" rtl="0" eaLnBrk="1" latinLnBrk="0" hangingPunct="1">
                            <a:defRPr kern="1200">
                              <a:solidFill>
                                <a:srgbClr val="003366"/>
                              </a:solidFill>
                              <a:latin typeface="Arial" charset="0"/>
                            </a:defRPr>
                          </a:lvl8pPr>
                          <a:lvl9pPr marL="3657600" algn="l" defTabSz="914400" rtl="0" eaLnBrk="1" latinLnBrk="0" hangingPunct="1">
                            <a:defRPr kern="1200">
                              <a:solidFill>
                                <a:srgbClr val="003366"/>
                              </a:solidFill>
                              <a:latin typeface="Arial" charset="0"/>
                            </a:defRPr>
                          </a:lvl9pPr>
                        </a:lstStyle>
                        <a:p>
                          <a:r>
                            <a:rPr lang="it-IT" sz="1600" i="1">
                              <a:solidFill>
                                <a:srgbClr val="FF0000"/>
                              </a:solidFill>
                            </a:rPr>
                            <a:t>90m</a:t>
                          </a:r>
                        </a:p>
                      </a:txBody>
                      <a:useSpRect/>
                    </a:txSp>
                  </a:sp>
                  <a:cxnSp>
                    <a:nvCxnSpPr>
                      <a:cNvPr id="38929" name="Connettore 1 26"/>
                      <a:cNvCxnSpPr>
                        <a:cxnSpLocks noChangeShapeType="1"/>
                      </a:cNvCxnSpPr>
                    </a:nvCxnSpPr>
                    <a:spPr bwMode="auto">
                      <a:xfrm rot="5400000">
                        <a:off x="3962400" y="4953000"/>
                        <a:ext cx="1295400" cy="76200"/>
                      </a:xfrm>
                      <a:prstGeom prst="line">
                        <a:avLst/>
                      </a:prstGeom>
                      <a:noFill/>
                      <a:ln w="25400" algn="ctr">
                        <a:solidFill>
                          <a:srgbClr val="003366"/>
                        </a:solidFill>
                        <a:prstDash val="dash"/>
                        <a:round/>
                        <a:headEnd/>
                        <a:tailEnd/>
                      </a:ln>
                    </a:spPr>
                  </a:cxnSp>
                  <a:cxnSp>
                    <a:nvCxnSpPr>
                      <a:cNvPr id="38930" name="Connettore 1 28"/>
                      <a:cNvCxnSpPr>
                        <a:cxnSpLocks noChangeShapeType="1"/>
                      </a:cNvCxnSpPr>
                    </a:nvCxnSpPr>
                    <a:spPr bwMode="auto">
                      <a:xfrm rot="5400000" flipH="1" flipV="1">
                        <a:off x="4686300" y="4991100"/>
                        <a:ext cx="1219200" cy="76200"/>
                      </a:xfrm>
                      <a:prstGeom prst="line">
                        <a:avLst/>
                      </a:prstGeom>
                      <a:noFill/>
                      <a:ln w="25400" algn="ctr">
                        <a:solidFill>
                          <a:srgbClr val="003366"/>
                        </a:solidFill>
                        <a:prstDash val="dash"/>
                        <a:round/>
                        <a:headEnd/>
                        <a:tailEnd/>
                      </a:ln>
                    </a:spPr>
                  </a:cxnSp>
                  <a:sp>
                    <a:nvSpPr>
                      <a:cNvPr id="38931" name="Freccia bidirezionale orizzontale 37"/>
                      <a:cNvSpPr>
                        <a:spLocks noChangeArrowheads="1"/>
                      </a:cNvSpPr>
                    </a:nvSpPr>
                    <a:spPr bwMode="auto">
                      <a:xfrm rot="291347">
                        <a:off x="4577693" y="5515201"/>
                        <a:ext cx="687429" cy="163677"/>
                      </a:xfrm>
                      <a:prstGeom prst="leftRightArrow">
                        <a:avLst>
                          <a:gd name="adj1" fmla="val 50000"/>
                          <a:gd name="adj2" fmla="val 49684"/>
                        </a:avLst>
                      </a:prstGeom>
                      <a:solidFill>
                        <a:srgbClr val="003366"/>
                      </a:solidFill>
                      <a:ln w="9525" algn="ctr">
                        <a:noFill/>
                        <a:round/>
                        <a:headEnd/>
                        <a:tailEnd/>
                      </a:ln>
                    </a:spPr>
                    <a:txSp>
                      <a:txBody>
                        <a:bodyPr/>
                        <a:lstStyle>
                          <a:defPPr>
                            <a:defRPr lang="en-US"/>
                          </a:defPPr>
                          <a:lvl1pPr algn="l" rtl="0" eaLnBrk="0" fontAlgn="base" hangingPunct="0">
                            <a:spcBef>
                              <a:spcPct val="0"/>
                            </a:spcBef>
                            <a:spcAft>
                              <a:spcPct val="0"/>
                            </a:spcAft>
                            <a:defRPr kern="1200">
                              <a:solidFill>
                                <a:srgbClr val="003366"/>
                              </a:solidFill>
                              <a:latin typeface="Arial" charset="0"/>
                            </a:defRPr>
                          </a:lvl1pPr>
                          <a:lvl2pPr marL="457200" algn="l" rtl="0" eaLnBrk="0" fontAlgn="base" hangingPunct="0">
                            <a:spcBef>
                              <a:spcPct val="0"/>
                            </a:spcBef>
                            <a:spcAft>
                              <a:spcPct val="0"/>
                            </a:spcAft>
                            <a:defRPr kern="1200">
                              <a:solidFill>
                                <a:srgbClr val="003366"/>
                              </a:solidFill>
                              <a:latin typeface="Arial" charset="0"/>
                            </a:defRPr>
                          </a:lvl2pPr>
                          <a:lvl3pPr marL="914400" algn="l" rtl="0" eaLnBrk="0" fontAlgn="base" hangingPunct="0">
                            <a:spcBef>
                              <a:spcPct val="0"/>
                            </a:spcBef>
                            <a:spcAft>
                              <a:spcPct val="0"/>
                            </a:spcAft>
                            <a:defRPr kern="1200">
                              <a:solidFill>
                                <a:srgbClr val="003366"/>
                              </a:solidFill>
                              <a:latin typeface="Arial" charset="0"/>
                            </a:defRPr>
                          </a:lvl3pPr>
                          <a:lvl4pPr marL="1371600" algn="l" rtl="0" eaLnBrk="0" fontAlgn="base" hangingPunct="0">
                            <a:spcBef>
                              <a:spcPct val="0"/>
                            </a:spcBef>
                            <a:spcAft>
                              <a:spcPct val="0"/>
                            </a:spcAft>
                            <a:defRPr kern="1200">
                              <a:solidFill>
                                <a:srgbClr val="003366"/>
                              </a:solidFill>
                              <a:latin typeface="Arial" charset="0"/>
                            </a:defRPr>
                          </a:lvl4pPr>
                          <a:lvl5pPr marL="1828800" algn="l" rtl="0" eaLnBrk="0" fontAlgn="base" hangingPunct="0">
                            <a:spcBef>
                              <a:spcPct val="0"/>
                            </a:spcBef>
                            <a:spcAft>
                              <a:spcPct val="0"/>
                            </a:spcAft>
                            <a:defRPr kern="1200">
                              <a:solidFill>
                                <a:srgbClr val="003366"/>
                              </a:solidFill>
                              <a:latin typeface="Arial" charset="0"/>
                            </a:defRPr>
                          </a:lvl5pPr>
                          <a:lvl6pPr marL="2286000" algn="l" defTabSz="914400" rtl="0" eaLnBrk="1" latinLnBrk="0" hangingPunct="1">
                            <a:defRPr kern="1200">
                              <a:solidFill>
                                <a:srgbClr val="003366"/>
                              </a:solidFill>
                              <a:latin typeface="Arial" charset="0"/>
                            </a:defRPr>
                          </a:lvl6pPr>
                          <a:lvl7pPr marL="2743200" algn="l" defTabSz="914400" rtl="0" eaLnBrk="1" latinLnBrk="0" hangingPunct="1">
                            <a:defRPr kern="1200">
                              <a:solidFill>
                                <a:srgbClr val="003366"/>
                              </a:solidFill>
                              <a:latin typeface="Arial" charset="0"/>
                            </a:defRPr>
                          </a:lvl7pPr>
                          <a:lvl8pPr marL="3200400" algn="l" defTabSz="914400" rtl="0" eaLnBrk="1" latinLnBrk="0" hangingPunct="1">
                            <a:defRPr kern="1200">
                              <a:solidFill>
                                <a:srgbClr val="003366"/>
                              </a:solidFill>
                              <a:latin typeface="Arial" charset="0"/>
                            </a:defRPr>
                          </a:lvl8pPr>
                          <a:lvl9pPr marL="3657600" algn="l" defTabSz="914400" rtl="0" eaLnBrk="1" latinLnBrk="0" hangingPunct="1">
                            <a:defRPr kern="1200">
                              <a:solidFill>
                                <a:srgbClr val="003366"/>
                              </a:solidFill>
                              <a:latin typeface="Arial" charset="0"/>
                            </a:defRPr>
                          </a:lvl9pPr>
                        </a:lstStyle>
                        <a:p>
                          <a:endParaRPr lang="it-IT"/>
                        </a:p>
                      </a:txBody>
                      <a:useSpRect/>
                    </a:txSp>
                  </a:sp>
                  <a:sp>
                    <a:nvSpPr>
                      <a:cNvPr id="38932" name="CasellaDiTesto 38"/>
                      <a:cNvSpPr txBox="1">
                        <a:spLocks noChangeArrowheads="1"/>
                      </a:cNvSpPr>
                    </a:nvSpPr>
                    <a:spPr bwMode="auto">
                      <a:xfrm>
                        <a:off x="4572000" y="5181600"/>
                        <a:ext cx="696913" cy="338138"/>
                      </a:xfrm>
                      <a:prstGeom prst="rect">
                        <a:avLst/>
                      </a:prstGeom>
                      <a:noFill/>
                      <a:ln w="9525">
                        <a:noFill/>
                        <a:miter lim="800000"/>
                        <a:headEnd/>
                        <a:tailEnd/>
                      </a:ln>
                    </a:spPr>
                    <a:txSp>
                      <a:txBody>
                        <a:bodyPr wrap="none">
                          <a:spAutoFit/>
                        </a:bodyPr>
                        <a:lstStyle>
                          <a:defPPr>
                            <a:defRPr lang="en-US"/>
                          </a:defPPr>
                          <a:lvl1pPr algn="l" rtl="0" eaLnBrk="0" fontAlgn="base" hangingPunct="0">
                            <a:spcBef>
                              <a:spcPct val="0"/>
                            </a:spcBef>
                            <a:spcAft>
                              <a:spcPct val="0"/>
                            </a:spcAft>
                            <a:defRPr kern="1200">
                              <a:solidFill>
                                <a:srgbClr val="003366"/>
                              </a:solidFill>
                              <a:latin typeface="Arial" charset="0"/>
                            </a:defRPr>
                          </a:lvl1pPr>
                          <a:lvl2pPr marL="457200" algn="l" rtl="0" eaLnBrk="0" fontAlgn="base" hangingPunct="0">
                            <a:spcBef>
                              <a:spcPct val="0"/>
                            </a:spcBef>
                            <a:spcAft>
                              <a:spcPct val="0"/>
                            </a:spcAft>
                            <a:defRPr kern="1200">
                              <a:solidFill>
                                <a:srgbClr val="003366"/>
                              </a:solidFill>
                              <a:latin typeface="Arial" charset="0"/>
                            </a:defRPr>
                          </a:lvl2pPr>
                          <a:lvl3pPr marL="914400" algn="l" rtl="0" eaLnBrk="0" fontAlgn="base" hangingPunct="0">
                            <a:spcBef>
                              <a:spcPct val="0"/>
                            </a:spcBef>
                            <a:spcAft>
                              <a:spcPct val="0"/>
                            </a:spcAft>
                            <a:defRPr kern="1200">
                              <a:solidFill>
                                <a:srgbClr val="003366"/>
                              </a:solidFill>
                              <a:latin typeface="Arial" charset="0"/>
                            </a:defRPr>
                          </a:lvl3pPr>
                          <a:lvl4pPr marL="1371600" algn="l" rtl="0" eaLnBrk="0" fontAlgn="base" hangingPunct="0">
                            <a:spcBef>
                              <a:spcPct val="0"/>
                            </a:spcBef>
                            <a:spcAft>
                              <a:spcPct val="0"/>
                            </a:spcAft>
                            <a:defRPr kern="1200">
                              <a:solidFill>
                                <a:srgbClr val="003366"/>
                              </a:solidFill>
                              <a:latin typeface="Arial" charset="0"/>
                            </a:defRPr>
                          </a:lvl4pPr>
                          <a:lvl5pPr marL="1828800" algn="l" rtl="0" eaLnBrk="0" fontAlgn="base" hangingPunct="0">
                            <a:spcBef>
                              <a:spcPct val="0"/>
                            </a:spcBef>
                            <a:spcAft>
                              <a:spcPct val="0"/>
                            </a:spcAft>
                            <a:defRPr kern="1200">
                              <a:solidFill>
                                <a:srgbClr val="003366"/>
                              </a:solidFill>
                              <a:latin typeface="Arial" charset="0"/>
                            </a:defRPr>
                          </a:lvl5pPr>
                          <a:lvl6pPr marL="2286000" algn="l" defTabSz="914400" rtl="0" eaLnBrk="1" latinLnBrk="0" hangingPunct="1">
                            <a:defRPr kern="1200">
                              <a:solidFill>
                                <a:srgbClr val="003366"/>
                              </a:solidFill>
                              <a:latin typeface="Arial" charset="0"/>
                            </a:defRPr>
                          </a:lvl6pPr>
                          <a:lvl7pPr marL="2743200" algn="l" defTabSz="914400" rtl="0" eaLnBrk="1" latinLnBrk="0" hangingPunct="1">
                            <a:defRPr kern="1200">
                              <a:solidFill>
                                <a:srgbClr val="003366"/>
                              </a:solidFill>
                              <a:latin typeface="Arial" charset="0"/>
                            </a:defRPr>
                          </a:lvl7pPr>
                          <a:lvl8pPr marL="3200400" algn="l" defTabSz="914400" rtl="0" eaLnBrk="1" latinLnBrk="0" hangingPunct="1">
                            <a:defRPr kern="1200">
                              <a:solidFill>
                                <a:srgbClr val="003366"/>
                              </a:solidFill>
                              <a:latin typeface="Arial" charset="0"/>
                            </a:defRPr>
                          </a:lvl8pPr>
                          <a:lvl9pPr marL="3657600" algn="l" defTabSz="914400" rtl="0" eaLnBrk="1" latinLnBrk="0" hangingPunct="1">
                            <a:defRPr kern="1200">
                              <a:solidFill>
                                <a:srgbClr val="003366"/>
                              </a:solidFill>
                              <a:latin typeface="Arial" charset="0"/>
                            </a:defRPr>
                          </a:lvl9pPr>
                        </a:lstStyle>
                        <a:p>
                          <a:r>
                            <a:rPr lang="it-IT" sz="1600" i="1"/>
                            <a:t>350m</a:t>
                          </a:r>
                        </a:p>
                      </a:txBody>
                      <a:useSpRect/>
                    </a:txSp>
                  </a:sp>
                </lc:lockedCanvas>
              </a:graphicData>
            </a:graphic>
          </wp:inline>
        </w:drawing>
      </w:r>
    </w:p>
    <w:p w:rsidR="00F0410E" w:rsidRPr="004E74D0" w:rsidRDefault="00F0410E" w:rsidP="00F0410E">
      <w:pPr>
        <w:pStyle w:val="Didascalia"/>
        <w:jc w:val="both"/>
        <w:rPr>
          <w:color w:val="1F497D" w:themeColor="text2"/>
          <w:lang w:val="en-US"/>
        </w:rPr>
      </w:pPr>
      <w:r w:rsidRPr="004E74D0">
        <w:rPr>
          <w:color w:val="1F497D" w:themeColor="text2"/>
          <w:lang w:val="en-US"/>
        </w:rPr>
        <w:t xml:space="preserve">Figure </w:t>
      </w:r>
      <w:r w:rsidR="009B29F4" w:rsidRPr="004E74D0">
        <w:rPr>
          <w:color w:val="1F497D" w:themeColor="text2"/>
        </w:rPr>
        <w:fldChar w:fldCharType="begin"/>
      </w:r>
      <w:r w:rsidRPr="004E74D0">
        <w:rPr>
          <w:color w:val="1F497D" w:themeColor="text2"/>
          <w:lang w:val="en-US"/>
        </w:rPr>
        <w:instrText xml:space="preserve"> SEQ Figure \* ARABIC </w:instrText>
      </w:r>
      <w:r w:rsidR="009B29F4" w:rsidRPr="004E74D0">
        <w:rPr>
          <w:color w:val="1F497D" w:themeColor="text2"/>
        </w:rPr>
        <w:fldChar w:fldCharType="separate"/>
      </w:r>
      <w:r w:rsidR="00156B1D">
        <w:rPr>
          <w:noProof/>
          <w:color w:val="1F497D" w:themeColor="text2"/>
          <w:lang w:val="en-US"/>
        </w:rPr>
        <w:t>12</w:t>
      </w:r>
      <w:r w:rsidR="009B29F4" w:rsidRPr="004E74D0">
        <w:rPr>
          <w:color w:val="1F497D" w:themeColor="text2"/>
        </w:rPr>
        <w:fldChar w:fldCharType="end"/>
      </w:r>
      <w:r w:rsidRPr="004E74D0">
        <w:rPr>
          <w:color w:val="1F497D" w:themeColor="text2"/>
          <w:lang w:val="en-US"/>
        </w:rPr>
        <w:t xml:space="preserve">: </w:t>
      </w:r>
      <w:r w:rsidR="004E74D0">
        <w:rPr>
          <w:color w:val="1F497D" w:themeColor="text2"/>
          <w:lang w:val="en-US"/>
        </w:rPr>
        <w:t xml:space="preserve">map of </w:t>
      </w:r>
      <w:r w:rsidRPr="004E74D0">
        <w:rPr>
          <w:color w:val="1F497D" w:themeColor="text2"/>
          <w:lang w:val="en-US"/>
        </w:rPr>
        <w:t xml:space="preserve">the Homestake </w:t>
      </w:r>
      <w:r w:rsidR="004E74D0" w:rsidRPr="004E74D0">
        <w:rPr>
          <w:color w:val="1F497D" w:themeColor="text2"/>
          <w:lang w:val="en-US"/>
        </w:rPr>
        <w:t>seismic</w:t>
      </w:r>
      <w:r w:rsidRPr="004E74D0">
        <w:rPr>
          <w:color w:val="1F497D" w:themeColor="text2"/>
          <w:lang w:val="en-US"/>
        </w:rPr>
        <w:t xml:space="preserve"> array at August 2009. Lines and spots represent tunnels and stations; brown for the 300 ft level, green for the 800 ft level, blue for the 2000 ft level and red for the 4100 ft level. Brown, green and central blue spots are the old stations, the two sideward </w:t>
      </w:r>
      <w:r w:rsidR="004E74D0" w:rsidRPr="004E74D0">
        <w:rPr>
          <w:color w:val="1F497D" w:themeColor="text2"/>
          <w:lang w:val="en-US"/>
        </w:rPr>
        <w:t>blue and the red spots represent the new stations</w:t>
      </w:r>
    </w:p>
    <w:p w:rsidR="00EC55F8" w:rsidRPr="004E74D0" w:rsidRDefault="004E74D0" w:rsidP="000B4B36">
      <w:pPr>
        <w:jc w:val="both"/>
        <w:rPr>
          <w:b/>
          <w:sz w:val="24"/>
          <w:szCs w:val="24"/>
          <w:lang w:val="en-US"/>
        </w:rPr>
      </w:pPr>
      <w:r w:rsidRPr="004E74D0">
        <w:rPr>
          <w:b/>
          <w:sz w:val="24"/>
          <w:szCs w:val="24"/>
          <w:lang w:val="en-US"/>
        </w:rPr>
        <w:t>V.1</w:t>
      </w:r>
      <w:r w:rsidR="002F6BA5">
        <w:rPr>
          <w:b/>
          <w:sz w:val="24"/>
          <w:szCs w:val="24"/>
          <w:lang w:val="en-US"/>
        </w:rPr>
        <w:t>.</w:t>
      </w:r>
      <w:r w:rsidRPr="004E74D0">
        <w:rPr>
          <w:b/>
          <w:sz w:val="24"/>
          <w:szCs w:val="24"/>
          <w:lang w:val="en-US"/>
        </w:rPr>
        <w:t xml:space="preserve"> construction of the new stations at </w:t>
      </w:r>
      <w:r w:rsidR="009C5C0D">
        <w:rPr>
          <w:b/>
          <w:sz w:val="24"/>
          <w:szCs w:val="24"/>
          <w:lang w:val="en-US"/>
        </w:rPr>
        <w:t xml:space="preserve">the </w:t>
      </w:r>
      <w:r w:rsidRPr="004E74D0">
        <w:rPr>
          <w:b/>
          <w:sz w:val="24"/>
          <w:szCs w:val="24"/>
          <w:lang w:val="en-US"/>
        </w:rPr>
        <w:t>610 m level</w:t>
      </w:r>
    </w:p>
    <w:p w:rsidR="00206BC6" w:rsidRDefault="004E74D0" w:rsidP="00D51C6D">
      <w:pPr>
        <w:jc w:val="both"/>
        <w:rPr>
          <w:lang w:val="en-US"/>
        </w:rPr>
      </w:pPr>
      <w:r>
        <w:rPr>
          <w:lang w:val="en-US"/>
        </w:rPr>
        <w:t>The first new s</w:t>
      </w:r>
      <w:r w:rsidR="00D62B5A">
        <w:rPr>
          <w:lang w:val="en-US"/>
        </w:rPr>
        <w:t>tation we built was the 2000ft-B</w:t>
      </w:r>
      <w:r>
        <w:rPr>
          <w:lang w:val="en-US"/>
        </w:rPr>
        <w:t xml:space="preserve">. It is located in a </w:t>
      </w:r>
      <w:r w:rsidR="002E26AA">
        <w:rPr>
          <w:lang w:val="en-US"/>
        </w:rPr>
        <w:t xml:space="preserve">free area </w:t>
      </w:r>
      <w:r w:rsidR="002E26AA" w:rsidRPr="002E26AA">
        <w:rPr>
          <w:lang w:val="en-US"/>
        </w:rPr>
        <w:t xml:space="preserve">along </w:t>
      </w:r>
      <w:r w:rsidR="002E26AA">
        <w:rPr>
          <w:lang w:val="en-US"/>
        </w:rPr>
        <w:t xml:space="preserve">a side of the </w:t>
      </w:r>
      <w:r w:rsidR="002E26AA" w:rsidRPr="002E26AA">
        <w:rPr>
          <w:lang w:val="en-US"/>
        </w:rPr>
        <w:t>tunnel</w:t>
      </w:r>
      <w:r w:rsidR="002E26AA">
        <w:rPr>
          <w:lang w:val="en-US"/>
        </w:rPr>
        <w:t xml:space="preserve"> at the 2000ft level. </w:t>
      </w:r>
      <w:r w:rsidR="00D51C6D">
        <w:rPr>
          <w:lang w:val="en-US"/>
        </w:rPr>
        <w:t xml:space="preserve">This level is </w:t>
      </w:r>
      <w:r w:rsidR="00D51C6D" w:rsidRPr="00D51C6D">
        <w:rPr>
          <w:lang w:val="en-US"/>
        </w:rPr>
        <w:t>relatively</w:t>
      </w:r>
      <w:r w:rsidR="002F6BA5">
        <w:rPr>
          <w:lang w:val="en-US"/>
        </w:rPr>
        <w:t xml:space="preserve"> dry, with </w:t>
      </w:r>
      <w:r w:rsidR="002F6BA5" w:rsidRPr="002F6BA5">
        <w:rPr>
          <w:lang w:val="en-US"/>
        </w:rPr>
        <w:t>approximately</w:t>
      </w:r>
      <w:r w:rsidR="002F6BA5">
        <w:rPr>
          <w:lang w:val="en-US"/>
        </w:rPr>
        <w:t xml:space="preserve"> stable temperature of 20°C, </w:t>
      </w:r>
      <w:r w:rsidR="00FF48EF">
        <w:rPr>
          <w:lang w:val="en-US"/>
        </w:rPr>
        <w:t>but</w:t>
      </w:r>
      <w:r w:rsidR="002F6BA5">
        <w:rPr>
          <w:lang w:val="en-US"/>
        </w:rPr>
        <w:t xml:space="preserve"> environmental conditions may change due to ventilation and excavation</w:t>
      </w:r>
      <w:r w:rsidR="002469B1">
        <w:rPr>
          <w:lang w:val="en-US"/>
        </w:rPr>
        <w:t xml:space="preserve"> work</w:t>
      </w:r>
      <w:r w:rsidR="002F6BA5">
        <w:rPr>
          <w:lang w:val="en-US"/>
        </w:rPr>
        <w:t>s in the level.</w:t>
      </w:r>
      <w:r w:rsidR="009A2055">
        <w:rPr>
          <w:lang w:val="en-US"/>
        </w:rPr>
        <w:t xml:space="preserve"> </w:t>
      </w:r>
      <w:r w:rsidR="00206BC6">
        <w:rPr>
          <w:lang w:val="en-US"/>
        </w:rPr>
        <w:t xml:space="preserve">An electric box provides a 110V AC power supply and a optical-cable connection to internet. </w:t>
      </w:r>
    </w:p>
    <w:p w:rsidR="00206BC6" w:rsidRDefault="00206BC6" w:rsidP="00D51C6D">
      <w:pPr>
        <w:jc w:val="both"/>
        <w:rPr>
          <w:lang w:val="en-US"/>
        </w:rPr>
      </w:pPr>
    </w:p>
    <w:p w:rsidR="004E74D0" w:rsidRPr="002E26AA" w:rsidRDefault="00D51C6D" w:rsidP="00D51C6D">
      <w:pPr>
        <w:jc w:val="both"/>
        <w:rPr>
          <w:lang w:val="en-US"/>
        </w:rPr>
      </w:pPr>
      <w:r>
        <w:rPr>
          <w:lang w:val="en-US"/>
        </w:rPr>
        <w:lastRenderedPageBreak/>
        <w:t xml:space="preserve">A pre-existent </w:t>
      </w:r>
      <w:r w:rsidRPr="00D51C6D">
        <w:rPr>
          <w:lang w:val="en-US"/>
        </w:rPr>
        <w:t>concrete pl</w:t>
      </w:r>
      <w:r>
        <w:rPr>
          <w:lang w:val="en-US"/>
        </w:rPr>
        <w:t>atform</w:t>
      </w:r>
      <w:r w:rsidR="002F6BA5">
        <w:rPr>
          <w:lang w:val="en-US"/>
        </w:rPr>
        <w:t xml:space="preserve"> remaining from an old charging station and</w:t>
      </w:r>
      <w:r>
        <w:rPr>
          <w:lang w:val="en-US"/>
        </w:rPr>
        <w:t xml:space="preserve"> connected to the bedrock </w:t>
      </w:r>
      <w:r w:rsidR="00206BC6">
        <w:rPr>
          <w:lang w:val="en-US"/>
        </w:rPr>
        <w:t xml:space="preserve">was </w:t>
      </w:r>
      <w:r>
        <w:rPr>
          <w:lang w:val="en-US"/>
        </w:rPr>
        <w:t>used as base for the computer and instrument huts.</w:t>
      </w:r>
      <w:r w:rsidR="00206BC6">
        <w:rPr>
          <w:lang w:val="en-US"/>
        </w:rPr>
        <w:t xml:space="preserve"> The computer hut hosts also DC power supply, UPS unit and DAQ with signal amplifier (</w:t>
      </w:r>
      <w:r w:rsidR="00206BC6" w:rsidRPr="00206BC6">
        <w:rPr>
          <w:i/>
          <w:lang w:val="en-US"/>
        </w:rPr>
        <w:t>see section VI</w:t>
      </w:r>
      <w:r w:rsidR="00206BC6">
        <w:rPr>
          <w:lang w:val="en-US"/>
        </w:rPr>
        <w:t>).</w:t>
      </w:r>
    </w:p>
    <w:p w:rsidR="009A2055" w:rsidRDefault="00AA4889" w:rsidP="009A2055">
      <w:pPr>
        <w:keepNext/>
        <w:jc w:val="both"/>
        <w:rPr>
          <w:lang w:val="en-US"/>
        </w:rPr>
      </w:pPr>
      <w:r>
        <w:rPr>
          <w:noProof/>
          <w:lang w:eastAsia="it-IT"/>
        </w:rPr>
        <w:drawing>
          <wp:inline distT="0" distB="0" distL="0" distR="0">
            <wp:extent cx="2327910" cy="1748140"/>
            <wp:effectExtent l="19050" t="0" r="0" b="0"/>
            <wp:docPr id="16" name="Immagine 6" descr="C:\FOTOBACKUP\DUGL Pics\IMG_2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OBACKUP\DUGL Pics\IMG_2635.JPG"/>
                    <pic:cNvPicPr>
                      <a:picLocks noChangeAspect="1" noChangeArrowheads="1"/>
                    </pic:cNvPicPr>
                  </pic:nvPicPr>
                  <pic:blipFill>
                    <a:blip r:embed="rId19" cstate="print"/>
                    <a:srcRect/>
                    <a:stretch>
                      <a:fillRect/>
                    </a:stretch>
                  </pic:blipFill>
                  <pic:spPr bwMode="auto">
                    <a:xfrm>
                      <a:off x="0" y="0"/>
                      <a:ext cx="2327910" cy="1748140"/>
                    </a:xfrm>
                    <a:prstGeom prst="rect">
                      <a:avLst/>
                    </a:prstGeom>
                    <a:noFill/>
                    <a:ln w="9525">
                      <a:noFill/>
                      <a:miter lim="800000"/>
                      <a:headEnd/>
                      <a:tailEnd/>
                    </a:ln>
                  </pic:spPr>
                </pic:pic>
              </a:graphicData>
            </a:graphic>
          </wp:inline>
        </w:drawing>
      </w:r>
      <w:r w:rsidR="000B513F">
        <w:rPr>
          <w:lang w:val="en-US"/>
        </w:rPr>
        <w:t xml:space="preserve"> </w:t>
      </w:r>
      <w:r>
        <w:rPr>
          <w:noProof/>
          <w:lang w:eastAsia="it-IT"/>
        </w:rPr>
        <w:drawing>
          <wp:inline distT="0" distB="0" distL="0" distR="0">
            <wp:extent cx="2336230" cy="1752600"/>
            <wp:effectExtent l="19050" t="0" r="6920" b="0"/>
            <wp:docPr id="18" name="Immagine 7" descr="C:\FOTOBACKUP\P101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OBACKUP\P1010092.JPG"/>
                    <pic:cNvPicPr>
                      <a:picLocks noChangeAspect="1" noChangeArrowheads="1"/>
                    </pic:cNvPicPr>
                  </pic:nvPicPr>
                  <pic:blipFill>
                    <a:blip r:embed="rId20" cstate="print"/>
                    <a:srcRect/>
                    <a:stretch>
                      <a:fillRect/>
                    </a:stretch>
                  </pic:blipFill>
                  <pic:spPr bwMode="auto">
                    <a:xfrm>
                      <a:off x="0" y="0"/>
                      <a:ext cx="2336230" cy="1752600"/>
                    </a:xfrm>
                    <a:prstGeom prst="rect">
                      <a:avLst/>
                    </a:prstGeom>
                    <a:noFill/>
                    <a:ln w="9525">
                      <a:noFill/>
                      <a:miter lim="800000"/>
                      <a:headEnd/>
                      <a:tailEnd/>
                    </a:ln>
                  </pic:spPr>
                </pic:pic>
              </a:graphicData>
            </a:graphic>
          </wp:inline>
        </w:drawing>
      </w:r>
      <w:r w:rsidR="000B513F">
        <w:rPr>
          <w:lang w:val="en-US"/>
        </w:rPr>
        <w:t xml:space="preserve"> </w:t>
      </w:r>
      <w:r>
        <w:rPr>
          <w:noProof/>
          <w:lang w:eastAsia="it-IT"/>
        </w:rPr>
        <w:drawing>
          <wp:inline distT="0" distB="0" distL="0" distR="0">
            <wp:extent cx="1312544" cy="1750398"/>
            <wp:effectExtent l="19050" t="0" r="1906" b="0"/>
            <wp:docPr id="20" name="Immagine 8" descr="C:\FOTOBACKUP\DUGL Pics\IMG_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OBACKUP\DUGL Pics\IMG_2647.JPG"/>
                    <pic:cNvPicPr>
                      <a:picLocks noChangeAspect="1" noChangeArrowheads="1"/>
                    </pic:cNvPicPr>
                  </pic:nvPicPr>
                  <pic:blipFill>
                    <a:blip r:embed="rId21" cstate="print"/>
                    <a:srcRect/>
                    <a:stretch>
                      <a:fillRect/>
                    </a:stretch>
                  </pic:blipFill>
                  <pic:spPr bwMode="auto">
                    <a:xfrm>
                      <a:off x="0" y="0"/>
                      <a:ext cx="1319429" cy="1759580"/>
                    </a:xfrm>
                    <a:prstGeom prst="rect">
                      <a:avLst/>
                    </a:prstGeom>
                    <a:noFill/>
                    <a:ln w="9525">
                      <a:noFill/>
                      <a:miter lim="800000"/>
                      <a:headEnd/>
                      <a:tailEnd/>
                    </a:ln>
                  </pic:spPr>
                </pic:pic>
              </a:graphicData>
            </a:graphic>
          </wp:inline>
        </w:drawing>
      </w:r>
    </w:p>
    <w:p w:rsidR="009A2055" w:rsidRPr="009A2055" w:rsidRDefault="009A2055" w:rsidP="009A2055">
      <w:pPr>
        <w:pStyle w:val="Didascalia"/>
        <w:jc w:val="both"/>
        <w:rPr>
          <w:color w:val="1F497D" w:themeColor="text2"/>
          <w:lang w:val="en-US"/>
        </w:rPr>
      </w:pPr>
      <w:r w:rsidRPr="009A2055">
        <w:rPr>
          <w:color w:val="1F497D" w:themeColor="text2"/>
          <w:lang w:val="en-US"/>
        </w:rPr>
        <w:t xml:space="preserve">Figure </w:t>
      </w:r>
      <w:r w:rsidR="009B29F4" w:rsidRPr="009A2055">
        <w:rPr>
          <w:color w:val="1F497D" w:themeColor="text2"/>
        </w:rPr>
        <w:fldChar w:fldCharType="begin"/>
      </w:r>
      <w:r w:rsidRPr="009A2055">
        <w:rPr>
          <w:color w:val="1F497D" w:themeColor="text2"/>
          <w:lang w:val="en-US"/>
        </w:rPr>
        <w:instrText xml:space="preserve"> SEQ Figure \* ARABIC </w:instrText>
      </w:r>
      <w:r w:rsidR="009B29F4" w:rsidRPr="009A2055">
        <w:rPr>
          <w:color w:val="1F497D" w:themeColor="text2"/>
        </w:rPr>
        <w:fldChar w:fldCharType="separate"/>
      </w:r>
      <w:r w:rsidR="00156B1D">
        <w:rPr>
          <w:noProof/>
          <w:color w:val="1F497D" w:themeColor="text2"/>
          <w:lang w:val="en-US"/>
        </w:rPr>
        <w:t>13</w:t>
      </w:r>
      <w:r w:rsidR="009B29F4" w:rsidRPr="009A2055">
        <w:rPr>
          <w:color w:val="1F497D" w:themeColor="text2"/>
        </w:rPr>
        <w:fldChar w:fldCharType="end"/>
      </w:r>
      <w:r w:rsidRPr="009A2055">
        <w:rPr>
          <w:color w:val="1F497D" w:themeColor="text2"/>
          <w:lang w:val="en-US"/>
        </w:rPr>
        <w:t xml:space="preserve">,14,15: building </w:t>
      </w:r>
      <w:r>
        <w:rPr>
          <w:color w:val="1F497D" w:themeColor="text2"/>
          <w:lang w:val="en-US"/>
        </w:rPr>
        <w:t xml:space="preserve">and wiring </w:t>
      </w:r>
      <w:r w:rsidRPr="009A2055">
        <w:rPr>
          <w:color w:val="1F497D" w:themeColor="text2"/>
          <w:lang w:val="en-US"/>
        </w:rPr>
        <w:t>the computer hut</w:t>
      </w:r>
      <w:r w:rsidR="006379FF">
        <w:rPr>
          <w:color w:val="1F497D" w:themeColor="text2"/>
          <w:lang w:val="en-US"/>
        </w:rPr>
        <w:t>; in the right of figure 15 is observable an electric box of Sanford Lab</w:t>
      </w:r>
    </w:p>
    <w:p w:rsidR="00EC55F8" w:rsidRDefault="009A2055" w:rsidP="000B4B36">
      <w:pPr>
        <w:jc w:val="both"/>
        <w:rPr>
          <w:lang w:val="en-US"/>
        </w:rPr>
      </w:pPr>
      <w:r>
        <w:rPr>
          <w:lang w:val="en-US"/>
        </w:rPr>
        <w:t>Th</w:t>
      </w:r>
      <w:r w:rsidR="00A8430C">
        <w:rPr>
          <w:lang w:val="en-US"/>
        </w:rPr>
        <w:t>is hut was built for two reasons: first of all</w:t>
      </w:r>
      <w:r w:rsidR="00BC0856">
        <w:rPr>
          <w:lang w:val="en-US"/>
        </w:rPr>
        <w:t>,</w:t>
      </w:r>
      <w:r w:rsidR="00A8430C">
        <w:rPr>
          <w:lang w:val="en-US"/>
        </w:rPr>
        <w:t xml:space="preserve"> we wanted a protection from humidity and debris for the electronics; in second instance</w:t>
      </w:r>
      <w:r w:rsidR="00BC0856">
        <w:rPr>
          <w:lang w:val="en-US"/>
        </w:rPr>
        <w:t xml:space="preserve"> and maybe the most important,</w:t>
      </w:r>
      <w:r w:rsidR="00A8430C">
        <w:rPr>
          <w:lang w:val="en-US"/>
        </w:rPr>
        <w:t xml:space="preserve"> we wanted to reduce outside as much as possible the acoustic and thermal noise</w:t>
      </w:r>
      <w:r w:rsidR="00BC0856">
        <w:rPr>
          <w:lang w:val="en-US"/>
        </w:rPr>
        <w:t>s</w:t>
      </w:r>
      <w:r w:rsidR="000B513F">
        <w:rPr>
          <w:lang w:val="en-US"/>
        </w:rPr>
        <w:t xml:space="preserve"> emissions</w:t>
      </w:r>
      <w:r w:rsidR="00BC0856">
        <w:rPr>
          <w:lang w:val="en-US"/>
        </w:rPr>
        <w:t xml:space="preserve"> produced by</w:t>
      </w:r>
      <w:r w:rsidR="000B513F">
        <w:rPr>
          <w:lang w:val="en-US"/>
        </w:rPr>
        <w:t xml:space="preserve"> the</w:t>
      </w:r>
      <w:r w:rsidR="00BC0856">
        <w:rPr>
          <w:lang w:val="en-US"/>
        </w:rPr>
        <w:t xml:space="preserve"> </w:t>
      </w:r>
      <w:r w:rsidR="00A8430C">
        <w:rPr>
          <w:lang w:val="en-US"/>
        </w:rPr>
        <w:t>computer</w:t>
      </w:r>
      <w:r w:rsidR="00764D88">
        <w:rPr>
          <w:lang w:val="en-US"/>
        </w:rPr>
        <w:t xml:space="preserve"> itself</w:t>
      </w:r>
      <w:r w:rsidR="00A8430C">
        <w:rPr>
          <w:lang w:val="en-US"/>
        </w:rPr>
        <w:t xml:space="preserve"> and power supplies. We used </w:t>
      </w:r>
      <w:r w:rsidR="00D62B5A">
        <w:rPr>
          <w:lang w:val="en-US"/>
        </w:rPr>
        <w:t>p</w:t>
      </w:r>
      <w:r w:rsidR="00A8430C" w:rsidRPr="00A8430C">
        <w:rPr>
          <w:lang w:val="en-US"/>
        </w:rPr>
        <w:t>olyisocyanurate</w:t>
      </w:r>
      <w:r w:rsidR="006379FF">
        <w:rPr>
          <w:lang w:val="en-US"/>
        </w:rPr>
        <w:t xml:space="preserve"> single-layer</w:t>
      </w:r>
      <w:r w:rsidR="000B513F">
        <w:rPr>
          <w:lang w:val="en-US"/>
        </w:rPr>
        <w:t xml:space="preserve"> (1-inch)</w:t>
      </w:r>
      <w:r w:rsidR="00A8430C" w:rsidRPr="00A8430C">
        <w:rPr>
          <w:lang w:val="en-US"/>
        </w:rPr>
        <w:t xml:space="preserve"> panels, linked by tape and</w:t>
      </w:r>
      <w:r w:rsidR="00A8430C">
        <w:rPr>
          <w:lang w:val="en-US"/>
        </w:rPr>
        <w:t xml:space="preserve"> </w:t>
      </w:r>
      <w:r w:rsidR="000B513F">
        <w:rPr>
          <w:lang w:val="en-US"/>
        </w:rPr>
        <w:t>p</w:t>
      </w:r>
      <w:r w:rsidR="000B513F" w:rsidRPr="006379FF">
        <w:rPr>
          <w:lang w:val="en-US"/>
        </w:rPr>
        <w:t>olyurethane</w:t>
      </w:r>
      <w:r w:rsidR="000B513F" w:rsidRPr="00A8430C">
        <w:rPr>
          <w:lang w:val="en-US"/>
        </w:rPr>
        <w:t xml:space="preserve"> </w:t>
      </w:r>
      <w:r w:rsidR="00A8430C" w:rsidRPr="00A8430C">
        <w:rPr>
          <w:lang w:val="en-US"/>
        </w:rPr>
        <w:t>foam glu</w:t>
      </w:r>
      <w:r w:rsidR="00A8430C">
        <w:rPr>
          <w:lang w:val="en-US"/>
        </w:rPr>
        <w:t>e: the glue</w:t>
      </w:r>
      <w:r w:rsidR="006379FF">
        <w:rPr>
          <w:lang w:val="en-US"/>
        </w:rPr>
        <w:t xml:space="preserve"> initially used for this</w:t>
      </w:r>
      <w:r w:rsidR="00A8430C">
        <w:rPr>
          <w:lang w:val="en-US"/>
        </w:rPr>
        <w:t xml:space="preserve"> hut was </w:t>
      </w:r>
      <w:r w:rsidR="00A8430C" w:rsidRPr="00A8430C">
        <w:rPr>
          <w:lang w:val="en-US"/>
        </w:rPr>
        <w:t>not suitable</w:t>
      </w:r>
      <w:r w:rsidR="00BC0856">
        <w:rPr>
          <w:lang w:val="en-US"/>
        </w:rPr>
        <w:t xml:space="preserve"> also</w:t>
      </w:r>
      <w:r w:rsidR="00A8430C">
        <w:rPr>
          <w:lang w:val="en-US"/>
        </w:rPr>
        <w:t xml:space="preserve"> for the instrument hut since it is very slow to dry out and not </w:t>
      </w:r>
      <w:r w:rsidR="00D62B5A">
        <w:rPr>
          <w:lang w:val="en-US"/>
        </w:rPr>
        <w:t>strong enough</w:t>
      </w:r>
      <w:r w:rsidR="006379FF">
        <w:rPr>
          <w:lang w:val="en-US"/>
        </w:rPr>
        <w:t xml:space="preserve">, therefore we chose another </w:t>
      </w:r>
      <w:r w:rsidR="00D62B5A">
        <w:rPr>
          <w:lang w:val="en-US"/>
        </w:rPr>
        <w:t>p</w:t>
      </w:r>
      <w:r w:rsidR="006379FF" w:rsidRPr="006379FF">
        <w:rPr>
          <w:lang w:val="en-US"/>
        </w:rPr>
        <w:t>olyurethane foam glue</w:t>
      </w:r>
      <w:r w:rsidR="00BC0856">
        <w:rPr>
          <w:lang w:val="en-US"/>
        </w:rPr>
        <w:t xml:space="preserve"> </w:t>
      </w:r>
      <w:r w:rsidR="006379FF" w:rsidRPr="006379FF">
        <w:rPr>
          <w:lang w:val="en-US"/>
        </w:rPr>
        <w:t>which proved adequate for our purposes</w:t>
      </w:r>
      <w:r w:rsidR="00BC0856">
        <w:rPr>
          <w:lang w:val="en-US"/>
        </w:rPr>
        <w:t xml:space="preserve"> for all other huts and boxes</w:t>
      </w:r>
      <w:r w:rsidR="006379FF">
        <w:rPr>
          <w:lang w:val="en-US"/>
        </w:rPr>
        <w:t xml:space="preserve">. The computer </w:t>
      </w:r>
      <w:r w:rsidR="004121F8">
        <w:rPr>
          <w:lang w:val="en-US"/>
        </w:rPr>
        <w:t>hut</w:t>
      </w:r>
      <w:r w:rsidR="006379FF">
        <w:rPr>
          <w:lang w:val="en-US"/>
        </w:rPr>
        <w:t xml:space="preserve"> </w:t>
      </w:r>
      <w:r w:rsidR="004121F8">
        <w:rPr>
          <w:lang w:val="en-US"/>
        </w:rPr>
        <w:t xml:space="preserve">has a </w:t>
      </w:r>
      <w:r w:rsidR="006379FF" w:rsidRPr="006379FF">
        <w:rPr>
          <w:lang w:val="en-US"/>
        </w:rPr>
        <w:t xml:space="preserve">closable </w:t>
      </w:r>
      <w:r w:rsidR="00D62B5A">
        <w:rPr>
          <w:lang w:val="en-US"/>
        </w:rPr>
        <w:t>p</w:t>
      </w:r>
      <w:r w:rsidR="006379FF" w:rsidRPr="00A8430C">
        <w:rPr>
          <w:lang w:val="en-US"/>
        </w:rPr>
        <w:t>olyisocyanurate</w:t>
      </w:r>
      <w:r w:rsidR="006379FF" w:rsidRPr="006379FF">
        <w:rPr>
          <w:lang w:val="en-US"/>
        </w:rPr>
        <w:t xml:space="preserve"> door </w:t>
      </w:r>
      <w:r w:rsidR="006379FF">
        <w:rPr>
          <w:lang w:val="en-US"/>
        </w:rPr>
        <w:t xml:space="preserve">on the back </w:t>
      </w:r>
      <w:r w:rsidR="006379FF" w:rsidRPr="006379FF">
        <w:rPr>
          <w:lang w:val="en-US"/>
        </w:rPr>
        <w:t>and w</w:t>
      </w:r>
      <w:r w:rsidR="006379FF">
        <w:rPr>
          <w:lang w:val="en-US"/>
        </w:rPr>
        <w:t>as cabled to the electric box provided by Sanford Laboratory</w:t>
      </w:r>
      <w:r w:rsidR="001D75F8">
        <w:rPr>
          <w:lang w:val="en-US"/>
        </w:rPr>
        <w:t xml:space="preserve"> (</w:t>
      </w:r>
      <w:r w:rsidR="001D75F8" w:rsidRPr="001D75F8">
        <w:rPr>
          <w:i/>
          <w:lang w:val="en-US"/>
        </w:rPr>
        <w:t>figure 15</w:t>
      </w:r>
      <w:r w:rsidR="001D75F8">
        <w:rPr>
          <w:lang w:val="en-US"/>
        </w:rPr>
        <w:t>)</w:t>
      </w:r>
      <w:r w:rsidR="006A2920">
        <w:rPr>
          <w:lang w:val="en-US"/>
        </w:rPr>
        <w:t>.</w:t>
      </w:r>
    </w:p>
    <w:p w:rsidR="00595FB4" w:rsidRDefault="00595FB4" w:rsidP="00595FB4">
      <w:pPr>
        <w:keepNext/>
        <w:jc w:val="both"/>
        <w:rPr>
          <w:lang w:val="en-US"/>
        </w:rPr>
      </w:pPr>
      <w:r>
        <w:rPr>
          <w:noProof/>
          <w:lang w:eastAsia="it-IT"/>
        </w:rPr>
        <w:drawing>
          <wp:inline distT="0" distB="0" distL="0" distR="0">
            <wp:extent cx="2282190" cy="1712060"/>
            <wp:effectExtent l="19050" t="0" r="3810" b="0"/>
            <wp:docPr id="24" name="Immagine 3" descr="C:\FOTOBACKUP\DUGL Pics\IMG_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OBACKUP\DUGL Pics\IMG_2802.JPG"/>
                    <pic:cNvPicPr>
                      <a:picLocks noChangeAspect="1" noChangeArrowheads="1"/>
                    </pic:cNvPicPr>
                  </pic:nvPicPr>
                  <pic:blipFill>
                    <a:blip r:embed="rId22" cstate="print"/>
                    <a:srcRect/>
                    <a:stretch>
                      <a:fillRect/>
                    </a:stretch>
                  </pic:blipFill>
                  <pic:spPr bwMode="auto">
                    <a:xfrm>
                      <a:off x="0" y="0"/>
                      <a:ext cx="2285180" cy="1714303"/>
                    </a:xfrm>
                    <a:prstGeom prst="rect">
                      <a:avLst/>
                    </a:prstGeom>
                    <a:noFill/>
                    <a:ln w="9525">
                      <a:noFill/>
                      <a:miter lim="800000"/>
                      <a:headEnd/>
                      <a:tailEnd/>
                    </a:ln>
                  </pic:spPr>
                </pic:pic>
              </a:graphicData>
            </a:graphic>
          </wp:inline>
        </w:drawing>
      </w:r>
      <w:r w:rsidR="001F623F">
        <w:rPr>
          <w:lang w:val="en-US"/>
        </w:rPr>
        <w:t xml:space="preserve"> </w:t>
      </w:r>
      <w:r>
        <w:rPr>
          <w:noProof/>
          <w:lang w:eastAsia="it-IT"/>
        </w:rPr>
        <w:drawing>
          <wp:inline distT="0" distB="0" distL="0" distR="0">
            <wp:extent cx="1287780" cy="1717376"/>
            <wp:effectExtent l="19050" t="0" r="7620" b="0"/>
            <wp:docPr id="26" name="Immagine 5" descr="C:\FOTOBACKUP\DUGL Pics\IMG_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OBACKUP\DUGL Pics\IMG_2847.JPG"/>
                    <pic:cNvPicPr>
                      <a:picLocks noChangeAspect="1" noChangeArrowheads="1"/>
                    </pic:cNvPicPr>
                  </pic:nvPicPr>
                  <pic:blipFill>
                    <a:blip r:embed="rId23" cstate="print"/>
                    <a:srcRect/>
                    <a:stretch>
                      <a:fillRect/>
                    </a:stretch>
                  </pic:blipFill>
                  <pic:spPr bwMode="auto">
                    <a:xfrm>
                      <a:off x="0" y="0"/>
                      <a:ext cx="1295257" cy="1727348"/>
                    </a:xfrm>
                    <a:prstGeom prst="rect">
                      <a:avLst/>
                    </a:prstGeom>
                    <a:noFill/>
                    <a:ln w="9525">
                      <a:noFill/>
                      <a:miter lim="800000"/>
                      <a:headEnd/>
                      <a:tailEnd/>
                    </a:ln>
                  </pic:spPr>
                </pic:pic>
              </a:graphicData>
            </a:graphic>
          </wp:inline>
        </w:drawing>
      </w:r>
      <w:r w:rsidR="001F623F">
        <w:rPr>
          <w:lang w:val="en-US"/>
        </w:rPr>
        <w:t xml:space="preserve"> </w:t>
      </w:r>
      <w:r>
        <w:rPr>
          <w:noProof/>
          <w:lang w:eastAsia="it-IT"/>
        </w:rPr>
        <w:drawing>
          <wp:inline distT="0" distB="0" distL="0" distR="0">
            <wp:extent cx="2293620" cy="1720635"/>
            <wp:effectExtent l="19050" t="0" r="0" b="0"/>
            <wp:docPr id="28" name="Immagine 2" descr="C:\FOTOBACKUP\DUGL Pics\IMG_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OTOBACKUP\DUGL Pics\IMG_2740.JPG"/>
                    <pic:cNvPicPr>
                      <a:picLocks noChangeAspect="1" noChangeArrowheads="1"/>
                    </pic:cNvPicPr>
                  </pic:nvPicPr>
                  <pic:blipFill>
                    <a:blip r:embed="rId24" cstate="print"/>
                    <a:srcRect/>
                    <a:stretch>
                      <a:fillRect/>
                    </a:stretch>
                  </pic:blipFill>
                  <pic:spPr bwMode="auto">
                    <a:xfrm>
                      <a:off x="0" y="0"/>
                      <a:ext cx="2294798" cy="1721519"/>
                    </a:xfrm>
                    <a:prstGeom prst="rect">
                      <a:avLst/>
                    </a:prstGeom>
                    <a:noFill/>
                    <a:ln w="9525">
                      <a:noFill/>
                      <a:miter lim="800000"/>
                      <a:headEnd/>
                      <a:tailEnd/>
                    </a:ln>
                  </pic:spPr>
                </pic:pic>
              </a:graphicData>
            </a:graphic>
          </wp:inline>
        </w:drawing>
      </w:r>
    </w:p>
    <w:p w:rsidR="00595FB4" w:rsidRPr="00FB5A4F" w:rsidRDefault="00595FB4" w:rsidP="00595FB4">
      <w:pPr>
        <w:pStyle w:val="Didascalia"/>
        <w:jc w:val="both"/>
        <w:rPr>
          <w:color w:val="1F497D" w:themeColor="text2"/>
          <w:lang w:val="en-US"/>
        </w:rPr>
      </w:pPr>
      <w:r w:rsidRPr="00FB5A4F">
        <w:rPr>
          <w:color w:val="1F497D" w:themeColor="text2"/>
          <w:lang w:val="en-US"/>
        </w:rPr>
        <w:t xml:space="preserve">Figure 16,17,18: building the instrument hut: </w:t>
      </w:r>
      <w:r w:rsidR="00492BAF">
        <w:rPr>
          <w:color w:val="1F497D" w:themeColor="text2"/>
          <w:lang w:val="en-US"/>
        </w:rPr>
        <w:t xml:space="preserve">Insulating panels are well connected to the rock with </w:t>
      </w:r>
      <w:r w:rsidR="00D62B5A">
        <w:rPr>
          <w:color w:val="1F497D" w:themeColor="text2"/>
          <w:lang w:val="en-US"/>
        </w:rPr>
        <w:t>p</w:t>
      </w:r>
      <w:r w:rsidR="00492BAF">
        <w:rPr>
          <w:color w:val="1F497D" w:themeColor="text2"/>
          <w:lang w:val="en-US"/>
        </w:rPr>
        <w:t>olyurethane foam glue</w:t>
      </w:r>
    </w:p>
    <w:p w:rsidR="006A2920" w:rsidRDefault="009B29F4" w:rsidP="000B4B36">
      <w:pPr>
        <w:jc w:val="both"/>
        <w:rPr>
          <w:lang w:val="en-US"/>
        </w:rPr>
      </w:pPr>
      <w:r>
        <w:rPr>
          <w:noProof/>
        </w:rPr>
        <w:pict>
          <v:shape id="_x0000_s1041" type="#_x0000_t202" style="position:absolute;left:0;text-align:left;margin-left:329.7pt;margin-top:121.65pt;width:151.2pt;height:.05pt;z-index:251684864" stroked="f">
            <v:textbox style="mso-fit-shape-to-text:t" inset="0,0,0,0">
              <w:txbxContent>
                <w:p w:rsidR="003A4FB4" w:rsidRPr="000B513F" w:rsidRDefault="003A4FB4" w:rsidP="000B513F">
                  <w:pPr>
                    <w:pStyle w:val="Didascalia"/>
                    <w:rPr>
                      <w:noProof/>
                      <w:color w:val="1F497D" w:themeColor="text2"/>
                      <w:lang w:val="en-US"/>
                    </w:rPr>
                  </w:pPr>
                  <w:r w:rsidRPr="000B513F">
                    <w:rPr>
                      <w:color w:val="1F497D" w:themeColor="text2"/>
                      <w:lang w:val="en-US"/>
                    </w:rPr>
                    <w:t>Figure 19: the inner box</w:t>
                  </w:r>
                </w:p>
              </w:txbxContent>
            </v:textbox>
            <w10:wrap type="square"/>
          </v:shape>
        </w:pict>
      </w:r>
      <w:r w:rsidR="00A6056B">
        <w:rPr>
          <w:noProof/>
          <w:lang w:eastAsia="it-IT"/>
        </w:rPr>
        <w:drawing>
          <wp:anchor distT="0" distB="0" distL="114300" distR="114300" simplePos="0" relativeHeight="251676672" behindDoc="0" locked="0" layoutInCell="1" allowOverlap="1">
            <wp:simplePos x="0" y="0"/>
            <wp:positionH relativeFrom="column">
              <wp:posOffset>4187190</wp:posOffset>
            </wp:positionH>
            <wp:positionV relativeFrom="paragraph">
              <wp:posOffset>48895</wp:posOffset>
            </wp:positionV>
            <wp:extent cx="1920240" cy="1438910"/>
            <wp:effectExtent l="19050" t="0" r="3810" b="0"/>
            <wp:wrapSquare wrapText="bothSides"/>
            <wp:docPr id="29" name="Immagine 4" descr="C:\FOTOBACKUP\DUGL Pics\IMG_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OBACKUP\DUGL Pics\IMG_2815.JPG"/>
                    <pic:cNvPicPr>
                      <a:picLocks noChangeAspect="1" noChangeArrowheads="1"/>
                    </pic:cNvPicPr>
                  </pic:nvPicPr>
                  <pic:blipFill>
                    <a:blip r:embed="rId25" cstate="print"/>
                    <a:srcRect/>
                    <a:stretch>
                      <a:fillRect/>
                    </a:stretch>
                  </pic:blipFill>
                  <pic:spPr bwMode="auto">
                    <a:xfrm>
                      <a:off x="0" y="0"/>
                      <a:ext cx="1920240" cy="1438910"/>
                    </a:xfrm>
                    <a:prstGeom prst="rect">
                      <a:avLst/>
                    </a:prstGeom>
                    <a:noFill/>
                    <a:ln w="9525">
                      <a:noFill/>
                      <a:miter lim="800000"/>
                      <a:headEnd/>
                      <a:tailEnd/>
                    </a:ln>
                  </pic:spPr>
                </pic:pic>
              </a:graphicData>
            </a:graphic>
          </wp:anchor>
        </w:drawing>
      </w:r>
      <w:r w:rsidR="006A2920" w:rsidRPr="006A2920">
        <w:rPr>
          <w:lang w:val="en-US"/>
        </w:rPr>
        <w:t xml:space="preserve">The instrument hut </w:t>
      </w:r>
      <w:r w:rsidR="006A2920">
        <w:rPr>
          <w:lang w:val="en-US"/>
        </w:rPr>
        <w:t>was built next to computer hut and along a side of the tunnel</w:t>
      </w:r>
      <w:r w:rsidR="00A21445">
        <w:rPr>
          <w:lang w:val="en-US"/>
        </w:rPr>
        <w:t>, on the top of a concrete platform</w:t>
      </w:r>
      <w:r w:rsidR="006A2920">
        <w:rPr>
          <w:lang w:val="en-US"/>
        </w:rPr>
        <w:t>: the insulation</w:t>
      </w:r>
      <w:r w:rsidR="00A6056B">
        <w:rPr>
          <w:lang w:val="en-US"/>
        </w:rPr>
        <w:t xml:space="preserve"> from humidity, temperature oscillations and noise sources</w:t>
      </w:r>
      <w:r w:rsidR="006A2920">
        <w:rPr>
          <w:lang w:val="en-US"/>
        </w:rPr>
        <w:t xml:space="preserve"> is granted by </w:t>
      </w:r>
      <w:r w:rsidR="00D62B5A">
        <w:rPr>
          <w:lang w:val="en-US"/>
        </w:rPr>
        <w:t>p</w:t>
      </w:r>
      <w:r w:rsidR="006A2920">
        <w:rPr>
          <w:lang w:val="en-US"/>
        </w:rPr>
        <w:t>olyisocyanurate panel</w:t>
      </w:r>
      <w:r w:rsidR="00492BAF">
        <w:rPr>
          <w:lang w:val="en-US"/>
        </w:rPr>
        <w:t>s</w:t>
      </w:r>
      <w:r w:rsidR="006A2920">
        <w:rPr>
          <w:lang w:val="en-US"/>
        </w:rPr>
        <w:t xml:space="preserve"> (with a double-layer </w:t>
      </w:r>
      <w:r w:rsidR="000B513F">
        <w:rPr>
          <w:lang w:val="en-US"/>
        </w:rPr>
        <w:t xml:space="preserve">2-inch </w:t>
      </w:r>
      <w:r w:rsidR="006A2920">
        <w:rPr>
          <w:lang w:val="en-US"/>
        </w:rPr>
        <w:t>top panel)</w:t>
      </w:r>
      <w:r w:rsidR="000B513F">
        <w:rPr>
          <w:rStyle w:val="Rimandonotaapidipagina"/>
          <w:lang w:val="en-US"/>
        </w:rPr>
        <w:footnoteReference w:id="3"/>
      </w:r>
      <w:r w:rsidR="006A2920">
        <w:rPr>
          <w:lang w:val="en-US"/>
        </w:rPr>
        <w:t xml:space="preserve"> merged with </w:t>
      </w:r>
      <w:r w:rsidR="00D62B5A">
        <w:rPr>
          <w:lang w:val="en-US"/>
        </w:rPr>
        <w:t>p</w:t>
      </w:r>
      <w:r w:rsidR="006A2920">
        <w:rPr>
          <w:lang w:val="en-US"/>
        </w:rPr>
        <w:t xml:space="preserve">olyurethane foam glue; </w:t>
      </w:r>
      <w:r w:rsidR="00FB5A4F">
        <w:rPr>
          <w:lang w:val="en-US"/>
        </w:rPr>
        <w:t>a closable door was carved in the front side. A</w:t>
      </w:r>
      <w:r w:rsidR="00595FB4">
        <w:rPr>
          <w:lang w:val="en-US"/>
        </w:rPr>
        <w:t>n inner instrument box for the seismometer was built with the same insulating panels</w:t>
      </w:r>
      <w:r w:rsidR="006332EF">
        <w:rPr>
          <w:lang w:val="en-US"/>
        </w:rPr>
        <w:t xml:space="preserve"> (</w:t>
      </w:r>
      <w:r w:rsidR="006332EF" w:rsidRPr="006332EF">
        <w:rPr>
          <w:i/>
          <w:lang w:val="en-US"/>
        </w:rPr>
        <w:t>figure 19</w:t>
      </w:r>
      <w:r w:rsidR="006332EF">
        <w:rPr>
          <w:lang w:val="en-US"/>
        </w:rPr>
        <w:t>)</w:t>
      </w:r>
      <w:r w:rsidR="00595FB4">
        <w:rPr>
          <w:lang w:val="en-US"/>
        </w:rPr>
        <w:t>.</w:t>
      </w:r>
    </w:p>
    <w:p w:rsidR="00FB5A4F" w:rsidRDefault="00511CDC" w:rsidP="000B4B36">
      <w:pPr>
        <w:jc w:val="both"/>
        <w:rPr>
          <w:lang w:val="en-US"/>
        </w:rPr>
      </w:pPr>
      <w:r>
        <w:rPr>
          <w:lang w:val="en-US"/>
        </w:rPr>
        <w:lastRenderedPageBreak/>
        <w:t>In</w:t>
      </w:r>
      <w:r w:rsidR="00FB5A4F">
        <w:rPr>
          <w:lang w:val="en-US"/>
        </w:rPr>
        <w:t xml:space="preserve"> the instrument hut</w:t>
      </w:r>
      <w:r>
        <w:rPr>
          <w:lang w:val="en-US"/>
        </w:rPr>
        <w:t xml:space="preserve"> site</w:t>
      </w:r>
      <w:r w:rsidR="00FB5A4F">
        <w:rPr>
          <w:lang w:val="en-US"/>
        </w:rPr>
        <w:t xml:space="preserve"> we prepared </w:t>
      </w:r>
      <w:r w:rsidR="00590968">
        <w:rPr>
          <w:lang w:val="en-US"/>
        </w:rPr>
        <w:t>a square concrete plinth using as a mold a square wood frame we made there. On the top of this plinth we placed</w:t>
      </w:r>
      <w:r w:rsidR="005C0306">
        <w:rPr>
          <w:lang w:val="en-US"/>
        </w:rPr>
        <w:t xml:space="preserve">, </w:t>
      </w:r>
      <w:r w:rsidR="00590968">
        <w:rPr>
          <w:lang w:val="en-US"/>
        </w:rPr>
        <w:t>leveled</w:t>
      </w:r>
      <w:r w:rsidR="005C0306">
        <w:rPr>
          <w:lang w:val="en-US"/>
        </w:rPr>
        <w:t xml:space="preserve"> and cemented</w:t>
      </w:r>
      <w:r w:rsidR="00590968">
        <w:rPr>
          <w:lang w:val="en-US"/>
        </w:rPr>
        <w:t xml:space="preserve"> a square granite tile as bas</w:t>
      </w:r>
      <w:r w:rsidR="009D61E3">
        <w:rPr>
          <w:lang w:val="en-US"/>
        </w:rPr>
        <w:t>e</w:t>
      </w:r>
      <w:r w:rsidR="00590968">
        <w:rPr>
          <w:lang w:val="en-US"/>
        </w:rPr>
        <w:t xml:space="preserve"> for the seismometer.</w:t>
      </w:r>
      <w:r w:rsidR="00A6056B">
        <w:rPr>
          <w:lang w:val="en-US"/>
        </w:rPr>
        <w:t xml:space="preserve"> A wire connection between the huts provide the DC power supply for the seismometer and the sensor board, and the read-out.</w:t>
      </w:r>
      <w:r w:rsidR="006332EF">
        <w:rPr>
          <w:lang w:val="en-US"/>
        </w:rPr>
        <w:t xml:space="preserve"> At the end the station was operative and connected to the network.</w:t>
      </w:r>
    </w:p>
    <w:p w:rsidR="00FB5A4F" w:rsidRDefault="00FB5A4F" w:rsidP="00FB5A4F">
      <w:pPr>
        <w:keepNext/>
        <w:jc w:val="both"/>
        <w:rPr>
          <w:lang w:val="en-US"/>
        </w:rPr>
      </w:pPr>
      <w:r>
        <w:rPr>
          <w:noProof/>
          <w:lang w:eastAsia="it-IT"/>
        </w:rPr>
        <w:drawing>
          <wp:inline distT="0" distB="0" distL="0" distR="0">
            <wp:extent cx="1482090" cy="1976506"/>
            <wp:effectExtent l="19050" t="0" r="3810" b="0"/>
            <wp:docPr id="30" name="Immagine 6" descr="C:\FOTOBACKUP\DUGL Pics\IMG_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OBACKUP\DUGL Pics\IMG_2814.JPG"/>
                    <pic:cNvPicPr>
                      <a:picLocks noChangeAspect="1" noChangeArrowheads="1"/>
                    </pic:cNvPicPr>
                  </pic:nvPicPr>
                  <pic:blipFill>
                    <a:blip r:embed="rId26" cstate="print"/>
                    <a:srcRect/>
                    <a:stretch>
                      <a:fillRect/>
                    </a:stretch>
                  </pic:blipFill>
                  <pic:spPr bwMode="auto">
                    <a:xfrm>
                      <a:off x="0" y="0"/>
                      <a:ext cx="1482666" cy="1977274"/>
                    </a:xfrm>
                    <a:prstGeom prst="rect">
                      <a:avLst/>
                    </a:prstGeom>
                    <a:noFill/>
                    <a:ln w="9525">
                      <a:noFill/>
                      <a:miter lim="800000"/>
                      <a:headEnd/>
                      <a:tailEnd/>
                    </a:ln>
                  </pic:spPr>
                </pic:pic>
              </a:graphicData>
            </a:graphic>
          </wp:inline>
        </w:drawing>
      </w:r>
      <w:r w:rsidR="001F623F">
        <w:rPr>
          <w:lang w:val="en-US"/>
        </w:rPr>
        <w:t xml:space="preserve"> </w:t>
      </w:r>
      <w:r>
        <w:rPr>
          <w:noProof/>
          <w:lang w:eastAsia="it-IT"/>
        </w:rPr>
        <w:drawing>
          <wp:inline distT="0" distB="0" distL="0" distR="0">
            <wp:extent cx="1479897" cy="1973580"/>
            <wp:effectExtent l="19050" t="0" r="6003" b="0"/>
            <wp:docPr id="33" name="Immagine 8" descr="C:\FOTOBACKUP\DUGL Pics\IMG_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OBACKUP\DUGL Pics\IMG_2820.JPG"/>
                    <pic:cNvPicPr>
                      <a:picLocks noChangeAspect="1" noChangeArrowheads="1"/>
                    </pic:cNvPicPr>
                  </pic:nvPicPr>
                  <pic:blipFill>
                    <a:blip r:embed="rId27" cstate="print"/>
                    <a:srcRect/>
                    <a:stretch>
                      <a:fillRect/>
                    </a:stretch>
                  </pic:blipFill>
                  <pic:spPr bwMode="auto">
                    <a:xfrm>
                      <a:off x="0" y="0"/>
                      <a:ext cx="1480032" cy="1973761"/>
                    </a:xfrm>
                    <a:prstGeom prst="rect">
                      <a:avLst/>
                    </a:prstGeom>
                    <a:noFill/>
                    <a:ln w="9525">
                      <a:noFill/>
                      <a:miter lim="800000"/>
                      <a:headEnd/>
                      <a:tailEnd/>
                    </a:ln>
                  </pic:spPr>
                </pic:pic>
              </a:graphicData>
            </a:graphic>
          </wp:inline>
        </w:drawing>
      </w:r>
      <w:r w:rsidR="001F623F">
        <w:rPr>
          <w:lang w:val="en-US"/>
        </w:rPr>
        <w:t xml:space="preserve"> </w:t>
      </w:r>
      <w:r>
        <w:rPr>
          <w:noProof/>
          <w:lang w:eastAsia="it-IT"/>
        </w:rPr>
        <w:drawing>
          <wp:inline distT="0" distB="0" distL="0" distR="0">
            <wp:extent cx="1482090" cy="1976507"/>
            <wp:effectExtent l="19050" t="0" r="3810" b="0"/>
            <wp:docPr id="31" name="Immagine 7" descr="C:\FOTOBACKUP\DUGL Pics\IMG_2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OBACKUP\DUGL Pics\IMG_2816.JPG"/>
                    <pic:cNvPicPr>
                      <a:picLocks noChangeAspect="1" noChangeArrowheads="1"/>
                    </pic:cNvPicPr>
                  </pic:nvPicPr>
                  <pic:blipFill>
                    <a:blip r:embed="rId28" cstate="print"/>
                    <a:srcRect/>
                    <a:stretch>
                      <a:fillRect/>
                    </a:stretch>
                  </pic:blipFill>
                  <pic:spPr bwMode="auto">
                    <a:xfrm>
                      <a:off x="0" y="0"/>
                      <a:ext cx="1483022" cy="1977749"/>
                    </a:xfrm>
                    <a:prstGeom prst="rect">
                      <a:avLst/>
                    </a:prstGeom>
                    <a:noFill/>
                    <a:ln w="9525">
                      <a:noFill/>
                      <a:miter lim="800000"/>
                      <a:headEnd/>
                      <a:tailEnd/>
                    </a:ln>
                  </pic:spPr>
                </pic:pic>
              </a:graphicData>
            </a:graphic>
          </wp:inline>
        </w:drawing>
      </w:r>
      <w:r w:rsidR="001F623F">
        <w:rPr>
          <w:lang w:val="en-US"/>
        </w:rPr>
        <w:t xml:space="preserve"> </w:t>
      </w:r>
      <w:r>
        <w:rPr>
          <w:noProof/>
          <w:lang w:eastAsia="it-IT"/>
        </w:rPr>
        <w:drawing>
          <wp:inline distT="0" distB="0" distL="0" distR="0">
            <wp:extent cx="1479895" cy="1973580"/>
            <wp:effectExtent l="19050" t="0" r="6005" b="0"/>
            <wp:docPr id="34" name="Immagine 9" descr="C:\FOTOBACKUP\DUGL Pics\IMG_2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OBACKUP\DUGL Pics\IMG_2833.JPG"/>
                    <pic:cNvPicPr>
                      <a:picLocks noChangeAspect="1" noChangeArrowheads="1"/>
                    </pic:cNvPicPr>
                  </pic:nvPicPr>
                  <pic:blipFill>
                    <a:blip r:embed="rId29" cstate="print"/>
                    <a:srcRect/>
                    <a:stretch>
                      <a:fillRect/>
                    </a:stretch>
                  </pic:blipFill>
                  <pic:spPr bwMode="auto">
                    <a:xfrm>
                      <a:off x="0" y="0"/>
                      <a:ext cx="1479895" cy="1973580"/>
                    </a:xfrm>
                    <a:prstGeom prst="rect">
                      <a:avLst/>
                    </a:prstGeom>
                    <a:noFill/>
                    <a:ln w="9525">
                      <a:noFill/>
                      <a:miter lim="800000"/>
                      <a:headEnd/>
                      <a:tailEnd/>
                    </a:ln>
                  </pic:spPr>
                </pic:pic>
              </a:graphicData>
            </a:graphic>
          </wp:inline>
        </w:drawing>
      </w:r>
    </w:p>
    <w:p w:rsidR="00FB5A4F" w:rsidRPr="00D20D8A" w:rsidRDefault="00FB5A4F" w:rsidP="00FB5A4F">
      <w:pPr>
        <w:pStyle w:val="Didascalia"/>
        <w:jc w:val="both"/>
        <w:rPr>
          <w:color w:val="1F497D" w:themeColor="text2"/>
          <w:lang w:val="en-US"/>
        </w:rPr>
      </w:pPr>
      <w:r w:rsidRPr="00D20D8A">
        <w:rPr>
          <w:color w:val="1F497D" w:themeColor="text2"/>
          <w:lang w:val="en-US"/>
        </w:rPr>
        <w:t>Figure 20,21,22,23: preparing the concrete plinth for the seismometer; in t</w:t>
      </w:r>
      <w:r w:rsidR="00492BAF">
        <w:rPr>
          <w:color w:val="1F497D" w:themeColor="text2"/>
          <w:lang w:val="en-US"/>
        </w:rPr>
        <w:t xml:space="preserve">he center of figure 20 a granite </w:t>
      </w:r>
      <w:r w:rsidRPr="00D20D8A">
        <w:rPr>
          <w:color w:val="1F497D" w:themeColor="text2"/>
          <w:lang w:val="en-US"/>
        </w:rPr>
        <w:t>tile</w:t>
      </w:r>
      <w:r w:rsidR="00492BAF">
        <w:rPr>
          <w:color w:val="1F497D" w:themeColor="text2"/>
          <w:lang w:val="en-US"/>
        </w:rPr>
        <w:t xml:space="preserve"> is shown</w:t>
      </w:r>
      <w:r w:rsidRPr="00D20D8A">
        <w:rPr>
          <w:color w:val="1F497D" w:themeColor="text2"/>
          <w:lang w:val="en-US"/>
        </w:rPr>
        <w:t xml:space="preserve"> before it was placed on the concrete p</w:t>
      </w:r>
      <w:r w:rsidR="00590968" w:rsidRPr="00D20D8A">
        <w:rPr>
          <w:color w:val="1F497D" w:themeColor="text2"/>
          <w:lang w:val="en-US"/>
        </w:rPr>
        <w:t>l</w:t>
      </w:r>
      <w:r w:rsidRPr="00D20D8A">
        <w:rPr>
          <w:color w:val="1F497D" w:themeColor="text2"/>
          <w:lang w:val="en-US"/>
        </w:rPr>
        <w:t>i</w:t>
      </w:r>
      <w:r w:rsidR="00590968" w:rsidRPr="00D20D8A">
        <w:rPr>
          <w:color w:val="1F497D" w:themeColor="text2"/>
          <w:lang w:val="en-US"/>
        </w:rPr>
        <w:t>n</w:t>
      </w:r>
      <w:r w:rsidRPr="00D20D8A">
        <w:rPr>
          <w:color w:val="1F497D" w:themeColor="text2"/>
          <w:lang w:val="en-US"/>
        </w:rPr>
        <w:t>th inside the instrument hut</w:t>
      </w:r>
    </w:p>
    <w:p w:rsidR="0001718F" w:rsidRDefault="00A6056B" w:rsidP="000B4B36">
      <w:pPr>
        <w:jc w:val="both"/>
        <w:rPr>
          <w:lang w:val="en-US"/>
        </w:rPr>
      </w:pPr>
      <w:r w:rsidRPr="00A6056B">
        <w:rPr>
          <w:lang w:val="en-US"/>
        </w:rPr>
        <w:t>The other new station a</w:t>
      </w:r>
      <w:r>
        <w:rPr>
          <w:lang w:val="en-US"/>
        </w:rPr>
        <w:t>t</w:t>
      </w:r>
      <w:r w:rsidR="0001718F">
        <w:rPr>
          <w:lang w:val="en-US"/>
        </w:rPr>
        <w:t xml:space="preserve"> the</w:t>
      </w:r>
      <w:r>
        <w:rPr>
          <w:lang w:val="en-US"/>
        </w:rPr>
        <w:t xml:space="preserve"> 610</w:t>
      </w:r>
      <w:r w:rsidR="0001718F">
        <w:rPr>
          <w:lang w:val="en-US"/>
        </w:rPr>
        <w:t xml:space="preserve"> </w:t>
      </w:r>
      <w:r>
        <w:rPr>
          <w:lang w:val="en-US"/>
        </w:rPr>
        <w:t>m level</w:t>
      </w:r>
      <w:r w:rsidR="0001718F">
        <w:rPr>
          <w:lang w:val="en-US"/>
        </w:rPr>
        <w:t xml:space="preserve"> was built inside a tunnel located after the old station, coming from the Ross </w:t>
      </w:r>
      <w:r w:rsidR="00D62B5A">
        <w:rPr>
          <w:lang w:val="en-US"/>
        </w:rPr>
        <w:t>s</w:t>
      </w:r>
      <w:r w:rsidR="0001718F">
        <w:rPr>
          <w:lang w:val="en-US"/>
        </w:rPr>
        <w:t xml:space="preserve">haft. </w:t>
      </w:r>
      <w:r w:rsidR="0001718F" w:rsidRPr="0001718F">
        <w:rPr>
          <w:lang w:val="en-US"/>
        </w:rPr>
        <w:t>First we wired the tunnel from a electric box t</w:t>
      </w:r>
      <w:r w:rsidR="0001718F">
        <w:rPr>
          <w:lang w:val="en-US"/>
        </w:rPr>
        <w:t xml:space="preserve">o the new station site in order to have the AC power supply and the internet connection. </w:t>
      </w:r>
      <w:r w:rsidR="0001718F" w:rsidRPr="0001718F">
        <w:rPr>
          <w:lang w:val="en-US"/>
        </w:rPr>
        <w:t>Then we beg</w:t>
      </w:r>
      <w:r w:rsidR="00D62B5A">
        <w:rPr>
          <w:lang w:val="en-US"/>
        </w:rPr>
        <w:t>a</w:t>
      </w:r>
      <w:r w:rsidR="0001718F" w:rsidRPr="0001718F">
        <w:rPr>
          <w:lang w:val="en-US"/>
        </w:rPr>
        <w:t>n to prepare the site digging and s</w:t>
      </w:r>
      <w:r w:rsidR="0001718F">
        <w:rPr>
          <w:lang w:val="en-US"/>
        </w:rPr>
        <w:t xml:space="preserve">hoveling loose rocks and debris. Once the bedrock was reached we sounded </w:t>
      </w:r>
      <w:r w:rsidR="00492BAF">
        <w:rPr>
          <w:lang w:val="en-US"/>
        </w:rPr>
        <w:t>it</w:t>
      </w:r>
      <w:r w:rsidR="0001718F">
        <w:rPr>
          <w:lang w:val="en-US"/>
        </w:rPr>
        <w:t xml:space="preserve"> in </w:t>
      </w:r>
      <w:r w:rsidR="00492BAF">
        <w:rPr>
          <w:lang w:val="en-US"/>
        </w:rPr>
        <w:t xml:space="preserve">order to </w:t>
      </w:r>
      <w:r w:rsidR="001F623F" w:rsidRPr="001F623F">
        <w:rPr>
          <w:lang w:val="en-US"/>
        </w:rPr>
        <w:t>make certain that there were no</w:t>
      </w:r>
      <w:r w:rsidR="00492BAF">
        <w:rPr>
          <w:lang w:val="en-US"/>
        </w:rPr>
        <w:t xml:space="preserve"> rock fractures </w:t>
      </w:r>
      <w:r w:rsidR="001F623F" w:rsidRPr="001F623F">
        <w:rPr>
          <w:lang w:val="en-US"/>
        </w:rPr>
        <w:t>at the base of</w:t>
      </w:r>
      <w:r w:rsidR="00492BAF">
        <w:rPr>
          <w:lang w:val="en-US"/>
        </w:rPr>
        <w:t xml:space="preserve"> this</w:t>
      </w:r>
      <w:r w:rsidR="0001718F">
        <w:rPr>
          <w:lang w:val="en-US"/>
        </w:rPr>
        <w:t xml:space="preserve"> site. A concrete base well connected to the bedrock was prepared, and a square granite tile placed </w:t>
      </w:r>
      <w:r w:rsidR="005C0306">
        <w:rPr>
          <w:lang w:val="en-US"/>
        </w:rPr>
        <w:t xml:space="preserve">and cemented </w:t>
      </w:r>
      <w:r w:rsidR="0001718F">
        <w:rPr>
          <w:lang w:val="en-US"/>
        </w:rPr>
        <w:t>on it.</w:t>
      </w:r>
    </w:p>
    <w:p w:rsidR="00D20D8A" w:rsidRPr="00156B1D" w:rsidRDefault="00D20D8A" w:rsidP="00D20D8A">
      <w:pPr>
        <w:keepNext/>
        <w:jc w:val="both"/>
        <w:rPr>
          <w:lang w:val="en-US"/>
        </w:rPr>
      </w:pPr>
      <w:r>
        <w:rPr>
          <w:noProof/>
          <w:lang w:eastAsia="it-IT"/>
        </w:rPr>
        <w:drawing>
          <wp:inline distT="0" distB="0" distL="0" distR="0">
            <wp:extent cx="1442097" cy="1923173"/>
            <wp:effectExtent l="19050" t="0" r="5703" b="0"/>
            <wp:docPr id="42" name="Immagine 12" descr="C:\FOTOBACKUP\DUGL Pics\IMG_2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OBACKUP\DUGL Pics\IMG_2890.JPG"/>
                    <pic:cNvPicPr>
                      <a:picLocks noChangeAspect="1" noChangeArrowheads="1"/>
                    </pic:cNvPicPr>
                  </pic:nvPicPr>
                  <pic:blipFill>
                    <a:blip r:embed="rId30" cstate="print"/>
                    <a:srcRect/>
                    <a:stretch>
                      <a:fillRect/>
                    </a:stretch>
                  </pic:blipFill>
                  <pic:spPr bwMode="auto">
                    <a:xfrm>
                      <a:off x="0" y="0"/>
                      <a:ext cx="1448037" cy="1931095"/>
                    </a:xfrm>
                    <a:prstGeom prst="rect">
                      <a:avLst/>
                    </a:prstGeom>
                    <a:noFill/>
                    <a:ln w="9525">
                      <a:noFill/>
                      <a:miter lim="800000"/>
                      <a:headEnd/>
                      <a:tailEnd/>
                    </a:ln>
                  </pic:spPr>
                </pic:pic>
              </a:graphicData>
            </a:graphic>
          </wp:inline>
        </w:drawing>
      </w:r>
      <w:r w:rsidR="001F623F" w:rsidRPr="00156B1D">
        <w:rPr>
          <w:lang w:val="en-US"/>
        </w:rPr>
        <w:t xml:space="preserve"> </w:t>
      </w:r>
      <w:r>
        <w:rPr>
          <w:noProof/>
          <w:lang w:eastAsia="it-IT"/>
        </w:rPr>
        <w:drawing>
          <wp:inline distT="0" distB="0" distL="0" distR="0">
            <wp:extent cx="1439899" cy="1920240"/>
            <wp:effectExtent l="19050" t="0" r="7901" b="0"/>
            <wp:docPr id="43" name="Immagine 13" descr="C:\FOTOBACKUP\DUGL Pics\IMG_2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OTOBACKUP\DUGL Pics\IMG_2895.JPG"/>
                    <pic:cNvPicPr>
                      <a:picLocks noChangeAspect="1" noChangeArrowheads="1"/>
                    </pic:cNvPicPr>
                  </pic:nvPicPr>
                  <pic:blipFill>
                    <a:blip r:embed="rId31" cstate="print"/>
                    <a:srcRect/>
                    <a:stretch>
                      <a:fillRect/>
                    </a:stretch>
                  </pic:blipFill>
                  <pic:spPr bwMode="auto">
                    <a:xfrm>
                      <a:off x="0" y="0"/>
                      <a:ext cx="1450181" cy="1933952"/>
                    </a:xfrm>
                    <a:prstGeom prst="rect">
                      <a:avLst/>
                    </a:prstGeom>
                    <a:noFill/>
                    <a:ln w="9525">
                      <a:noFill/>
                      <a:miter lim="800000"/>
                      <a:headEnd/>
                      <a:tailEnd/>
                    </a:ln>
                  </pic:spPr>
                </pic:pic>
              </a:graphicData>
            </a:graphic>
          </wp:inline>
        </w:drawing>
      </w:r>
      <w:r w:rsidR="001F623F" w:rsidRPr="00156B1D">
        <w:rPr>
          <w:lang w:val="en-US"/>
        </w:rPr>
        <w:t xml:space="preserve"> </w:t>
      </w:r>
      <w:r>
        <w:rPr>
          <w:noProof/>
          <w:lang w:eastAsia="it-IT"/>
        </w:rPr>
        <w:drawing>
          <wp:inline distT="0" distB="0" distL="0" distR="0">
            <wp:extent cx="1440182" cy="1920620"/>
            <wp:effectExtent l="19050" t="0" r="7618" b="0"/>
            <wp:docPr id="44" name="Immagine 14" descr="C:\FOTOBACKUP\DUGL Pics\IMG_2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FOTOBACKUP\DUGL Pics\IMG_2901.JPG"/>
                    <pic:cNvPicPr>
                      <a:picLocks noChangeAspect="1" noChangeArrowheads="1"/>
                    </pic:cNvPicPr>
                  </pic:nvPicPr>
                  <pic:blipFill>
                    <a:blip r:embed="rId32" cstate="print"/>
                    <a:srcRect/>
                    <a:stretch>
                      <a:fillRect/>
                    </a:stretch>
                  </pic:blipFill>
                  <pic:spPr bwMode="auto">
                    <a:xfrm>
                      <a:off x="0" y="0"/>
                      <a:ext cx="1455371" cy="1940877"/>
                    </a:xfrm>
                    <a:prstGeom prst="rect">
                      <a:avLst/>
                    </a:prstGeom>
                    <a:noFill/>
                    <a:ln w="9525">
                      <a:noFill/>
                      <a:miter lim="800000"/>
                      <a:headEnd/>
                      <a:tailEnd/>
                    </a:ln>
                  </pic:spPr>
                </pic:pic>
              </a:graphicData>
            </a:graphic>
          </wp:inline>
        </w:drawing>
      </w:r>
      <w:r w:rsidR="001F623F" w:rsidRPr="00156B1D">
        <w:rPr>
          <w:lang w:val="en-US"/>
        </w:rPr>
        <w:t xml:space="preserve"> </w:t>
      </w:r>
      <w:r>
        <w:rPr>
          <w:noProof/>
          <w:lang w:eastAsia="it-IT"/>
        </w:rPr>
        <w:drawing>
          <wp:inline distT="0" distB="0" distL="0" distR="0">
            <wp:extent cx="1436383" cy="1915552"/>
            <wp:effectExtent l="19050" t="0" r="0" b="0"/>
            <wp:docPr id="45" name="Immagine 15" descr="C:\FOTOBACKUP\DUGL Pics\IMG_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FOTOBACKUP\DUGL Pics\IMG_2906.JPG"/>
                    <pic:cNvPicPr>
                      <a:picLocks noChangeAspect="1" noChangeArrowheads="1"/>
                    </pic:cNvPicPr>
                  </pic:nvPicPr>
                  <pic:blipFill>
                    <a:blip r:embed="rId33" cstate="print"/>
                    <a:srcRect/>
                    <a:stretch>
                      <a:fillRect/>
                    </a:stretch>
                  </pic:blipFill>
                  <pic:spPr bwMode="auto">
                    <a:xfrm>
                      <a:off x="0" y="0"/>
                      <a:ext cx="1439871" cy="1920203"/>
                    </a:xfrm>
                    <a:prstGeom prst="rect">
                      <a:avLst/>
                    </a:prstGeom>
                    <a:noFill/>
                    <a:ln w="9525">
                      <a:noFill/>
                      <a:miter lim="800000"/>
                      <a:headEnd/>
                      <a:tailEnd/>
                    </a:ln>
                  </pic:spPr>
                </pic:pic>
              </a:graphicData>
            </a:graphic>
          </wp:inline>
        </w:drawing>
      </w:r>
    </w:p>
    <w:p w:rsidR="00D20D8A" w:rsidRPr="006332EF" w:rsidRDefault="00D20D8A" w:rsidP="00D20D8A">
      <w:pPr>
        <w:pStyle w:val="Didascalia"/>
        <w:jc w:val="both"/>
        <w:rPr>
          <w:color w:val="1F497D" w:themeColor="text2"/>
          <w:lang w:val="en-US"/>
        </w:rPr>
      </w:pPr>
      <w:r w:rsidRPr="006332EF">
        <w:rPr>
          <w:color w:val="1F497D" w:themeColor="text2"/>
          <w:lang w:val="en-US"/>
        </w:rPr>
        <w:t>Figure 24,25,26,27: digging and shoveling loose rocks, and preparing the concrete base for t</w:t>
      </w:r>
      <w:r w:rsidR="006332EF">
        <w:rPr>
          <w:color w:val="1F497D" w:themeColor="text2"/>
          <w:lang w:val="en-US"/>
        </w:rPr>
        <w:t>he third 2000ft station</w:t>
      </w:r>
    </w:p>
    <w:p w:rsidR="00D20D8A" w:rsidRPr="006332EF" w:rsidRDefault="00883243" w:rsidP="000B4B36">
      <w:pPr>
        <w:jc w:val="both"/>
        <w:rPr>
          <w:lang w:val="en-US"/>
        </w:rPr>
      </w:pPr>
      <w:r w:rsidRPr="00883243">
        <w:rPr>
          <w:lang w:val="en-US"/>
        </w:rPr>
        <w:t xml:space="preserve">A single-layer cubic </w:t>
      </w:r>
      <w:r w:rsidR="00292FDD">
        <w:rPr>
          <w:lang w:val="en-US"/>
        </w:rPr>
        <w:t>p</w:t>
      </w:r>
      <w:r w:rsidRPr="00883243">
        <w:rPr>
          <w:lang w:val="en-US"/>
        </w:rPr>
        <w:t>olyisocya</w:t>
      </w:r>
      <w:r>
        <w:rPr>
          <w:lang w:val="en-US"/>
        </w:rPr>
        <w:t xml:space="preserve">nurate </w:t>
      </w:r>
      <w:r w:rsidR="006332EF">
        <w:rPr>
          <w:lang w:val="en-US"/>
        </w:rPr>
        <w:t>hut</w:t>
      </w:r>
      <w:r>
        <w:rPr>
          <w:lang w:val="en-US"/>
        </w:rPr>
        <w:t xml:space="preserve"> merged with </w:t>
      </w:r>
      <w:r w:rsidR="00292FDD">
        <w:rPr>
          <w:lang w:val="en-US"/>
        </w:rPr>
        <w:t>p</w:t>
      </w:r>
      <w:r>
        <w:rPr>
          <w:lang w:val="en-US"/>
        </w:rPr>
        <w:t>olyurethane foam glue was built to host the computer and the DC power supply</w:t>
      </w:r>
      <w:r w:rsidR="00511CDC">
        <w:rPr>
          <w:lang w:val="en-US"/>
        </w:rPr>
        <w:t xml:space="preserve"> (</w:t>
      </w:r>
      <w:r w:rsidR="00511CDC" w:rsidRPr="00511CDC">
        <w:rPr>
          <w:i/>
          <w:lang w:val="en-US"/>
        </w:rPr>
        <w:t>figure 28</w:t>
      </w:r>
      <w:r w:rsidR="00511CDC">
        <w:rPr>
          <w:lang w:val="en-US"/>
        </w:rPr>
        <w:t>)</w:t>
      </w:r>
      <w:r>
        <w:rPr>
          <w:lang w:val="en-US"/>
        </w:rPr>
        <w:t xml:space="preserve">. </w:t>
      </w:r>
      <w:r w:rsidRPr="00883243">
        <w:rPr>
          <w:lang w:val="en-US"/>
        </w:rPr>
        <w:t>Since this part of the level is warm</w:t>
      </w:r>
      <w:r>
        <w:rPr>
          <w:lang w:val="en-US"/>
        </w:rPr>
        <w:t>er</w:t>
      </w:r>
      <w:r w:rsidR="00511CDC">
        <w:rPr>
          <w:lang w:val="en-US"/>
        </w:rPr>
        <w:t xml:space="preserve"> and more wet</w:t>
      </w:r>
      <w:r>
        <w:rPr>
          <w:lang w:val="en-US"/>
        </w:rPr>
        <w:t xml:space="preserve">, a better insulation was required: </w:t>
      </w:r>
      <w:r w:rsidR="00511CDC">
        <w:rPr>
          <w:lang w:val="en-US"/>
        </w:rPr>
        <w:t xml:space="preserve">along a side of the tunnel </w:t>
      </w:r>
      <w:r>
        <w:rPr>
          <w:lang w:val="en-US"/>
        </w:rPr>
        <w:t xml:space="preserve">a double-layer hut was built to host the seismometer; </w:t>
      </w:r>
      <w:r w:rsidR="00292FDD">
        <w:rPr>
          <w:lang w:val="en-US"/>
        </w:rPr>
        <w:t>p</w:t>
      </w:r>
      <w:r w:rsidR="0016567D">
        <w:rPr>
          <w:lang w:val="en-US"/>
        </w:rPr>
        <w:t>olyurethane foam glue was used to merge</w:t>
      </w:r>
      <w:r>
        <w:rPr>
          <w:lang w:val="en-US"/>
        </w:rPr>
        <w:t xml:space="preserve"> two </w:t>
      </w:r>
      <w:r w:rsidR="00292FDD">
        <w:rPr>
          <w:lang w:val="en-US"/>
        </w:rPr>
        <w:t>p</w:t>
      </w:r>
      <w:r>
        <w:rPr>
          <w:lang w:val="en-US"/>
        </w:rPr>
        <w:t>olyisocyanurate layers</w:t>
      </w:r>
      <w:r w:rsidR="0016567D">
        <w:rPr>
          <w:lang w:val="en-US"/>
        </w:rPr>
        <w:t xml:space="preserve"> for each side of the hut</w:t>
      </w:r>
      <w:r>
        <w:rPr>
          <w:lang w:val="en-US"/>
        </w:rPr>
        <w:t>.</w:t>
      </w:r>
      <w:r w:rsidR="006332EF">
        <w:rPr>
          <w:lang w:val="en-US"/>
        </w:rPr>
        <w:t xml:space="preserve"> As for the other new station, a</w:t>
      </w:r>
      <w:r w:rsidR="006332EF" w:rsidRPr="006332EF">
        <w:rPr>
          <w:lang w:val="en-US"/>
        </w:rPr>
        <w:t>n inner box was built with the sa</w:t>
      </w:r>
      <w:r w:rsidR="006332EF">
        <w:rPr>
          <w:lang w:val="en-US"/>
        </w:rPr>
        <w:t>me panels</w:t>
      </w:r>
      <w:r w:rsidR="00511CDC">
        <w:rPr>
          <w:lang w:val="en-US"/>
        </w:rPr>
        <w:t xml:space="preserve"> (</w:t>
      </w:r>
      <w:r w:rsidR="00511CDC" w:rsidRPr="00511CDC">
        <w:rPr>
          <w:i/>
          <w:lang w:val="en-US"/>
        </w:rPr>
        <w:t>figure 29</w:t>
      </w:r>
      <w:r w:rsidR="00511CDC">
        <w:rPr>
          <w:lang w:val="en-US"/>
        </w:rPr>
        <w:t>)</w:t>
      </w:r>
      <w:r w:rsidR="006332EF">
        <w:rPr>
          <w:lang w:val="en-US"/>
        </w:rPr>
        <w:t>.</w:t>
      </w:r>
      <w:r w:rsidR="00511CDC">
        <w:rPr>
          <w:lang w:val="en-US"/>
        </w:rPr>
        <w:t xml:space="preserve"> Closable doors were carved for each hut.</w:t>
      </w:r>
      <w:r w:rsidR="006332EF">
        <w:rPr>
          <w:lang w:val="en-US"/>
        </w:rPr>
        <w:t xml:space="preserve"> Once hut and boxes w</w:t>
      </w:r>
      <w:r w:rsidR="00F02C6E">
        <w:rPr>
          <w:lang w:val="en-US"/>
        </w:rPr>
        <w:t>ere</w:t>
      </w:r>
      <w:r w:rsidR="006332EF">
        <w:rPr>
          <w:lang w:val="en-US"/>
        </w:rPr>
        <w:t xml:space="preserve"> completed</w:t>
      </w:r>
      <w:r w:rsidR="00511CDC">
        <w:rPr>
          <w:lang w:val="en-US"/>
        </w:rPr>
        <w:t>,</w:t>
      </w:r>
      <w:r w:rsidR="006332EF" w:rsidRPr="006332EF">
        <w:rPr>
          <w:lang w:val="en-US"/>
        </w:rPr>
        <w:t xml:space="preserve"> </w:t>
      </w:r>
      <w:r w:rsidR="006332EF">
        <w:rPr>
          <w:lang w:val="en-US"/>
        </w:rPr>
        <w:t>instruments were placed in the site, wired and connected to the network.</w:t>
      </w:r>
    </w:p>
    <w:p w:rsidR="00511CDC" w:rsidRPr="00511CDC" w:rsidRDefault="00511CDC" w:rsidP="000B4B36">
      <w:pPr>
        <w:jc w:val="both"/>
        <w:rPr>
          <w:lang w:val="en-US"/>
        </w:rPr>
      </w:pPr>
    </w:p>
    <w:p w:rsidR="00511CDC" w:rsidRDefault="00883243" w:rsidP="00A66FC7">
      <w:pPr>
        <w:keepNext/>
        <w:jc w:val="center"/>
      </w:pPr>
      <w:r>
        <w:rPr>
          <w:noProof/>
          <w:lang w:eastAsia="it-IT"/>
        </w:rPr>
        <w:lastRenderedPageBreak/>
        <w:drawing>
          <wp:inline distT="0" distB="0" distL="0" distR="0">
            <wp:extent cx="2147877" cy="2863137"/>
            <wp:effectExtent l="19050" t="0" r="4773" b="0"/>
            <wp:docPr id="47" name="Immagine 17" descr="C:\FOTOBACKUP\P101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OTOBACKUP\P1010529.JPG"/>
                    <pic:cNvPicPr>
                      <a:picLocks noChangeAspect="1" noChangeArrowheads="1"/>
                    </pic:cNvPicPr>
                  </pic:nvPicPr>
                  <pic:blipFill>
                    <a:blip r:embed="rId34" cstate="print"/>
                    <a:srcRect/>
                    <a:stretch>
                      <a:fillRect/>
                    </a:stretch>
                  </pic:blipFill>
                  <pic:spPr bwMode="auto">
                    <a:xfrm>
                      <a:off x="0" y="0"/>
                      <a:ext cx="2148161" cy="2863516"/>
                    </a:xfrm>
                    <a:prstGeom prst="rect">
                      <a:avLst/>
                    </a:prstGeom>
                    <a:noFill/>
                    <a:ln w="9525">
                      <a:noFill/>
                      <a:miter lim="800000"/>
                      <a:headEnd/>
                      <a:tailEnd/>
                    </a:ln>
                  </pic:spPr>
                </pic:pic>
              </a:graphicData>
            </a:graphic>
          </wp:inline>
        </w:drawing>
      </w:r>
      <w:r>
        <w:rPr>
          <w:noProof/>
          <w:lang w:eastAsia="it-IT"/>
        </w:rPr>
        <w:drawing>
          <wp:inline distT="0" distB="0" distL="0" distR="0">
            <wp:extent cx="3814223" cy="2861364"/>
            <wp:effectExtent l="19050" t="0" r="0" b="0"/>
            <wp:docPr id="48" name="Immagine 18" descr="C:\FOTOBACKUP\P101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FOTOBACKUP\P1010531.JPG"/>
                    <pic:cNvPicPr>
                      <a:picLocks noChangeAspect="1" noChangeArrowheads="1"/>
                    </pic:cNvPicPr>
                  </pic:nvPicPr>
                  <pic:blipFill>
                    <a:blip r:embed="rId35" cstate="print"/>
                    <a:srcRect/>
                    <a:stretch>
                      <a:fillRect/>
                    </a:stretch>
                  </pic:blipFill>
                  <pic:spPr bwMode="auto">
                    <a:xfrm>
                      <a:off x="0" y="0"/>
                      <a:ext cx="3817213" cy="2863607"/>
                    </a:xfrm>
                    <a:prstGeom prst="rect">
                      <a:avLst/>
                    </a:prstGeom>
                    <a:noFill/>
                    <a:ln w="9525">
                      <a:noFill/>
                      <a:miter lim="800000"/>
                      <a:headEnd/>
                      <a:tailEnd/>
                    </a:ln>
                  </pic:spPr>
                </pic:pic>
              </a:graphicData>
            </a:graphic>
          </wp:inline>
        </w:drawing>
      </w:r>
    </w:p>
    <w:p w:rsidR="00EC55F8" w:rsidRPr="009C5C0D" w:rsidRDefault="00511CDC" w:rsidP="00511CDC">
      <w:pPr>
        <w:pStyle w:val="Didascalia"/>
        <w:jc w:val="both"/>
        <w:rPr>
          <w:color w:val="1F497D" w:themeColor="text2"/>
          <w:lang w:val="en-US"/>
        </w:rPr>
      </w:pPr>
      <w:r w:rsidRPr="009C5C0D">
        <w:rPr>
          <w:color w:val="1F497D" w:themeColor="text2"/>
          <w:lang w:val="en-US"/>
        </w:rPr>
        <w:t>Figure 28,29: computer and instrument huts at 2000ft; figure 29 shows the double-layer structure and the inner instrument box</w:t>
      </w:r>
    </w:p>
    <w:p w:rsidR="00EC55F8" w:rsidRPr="00511CDC" w:rsidRDefault="00ED166F" w:rsidP="000B4B36">
      <w:pPr>
        <w:jc w:val="both"/>
        <w:rPr>
          <w:lang w:val="en-US"/>
        </w:rPr>
      </w:pPr>
      <w:r>
        <w:rPr>
          <w:lang w:val="en-US"/>
        </w:rPr>
        <w:t>The sub-array at 610 m level is completed by the old station, located between the two new stations and made-up by a computer hut and a</w:t>
      </w:r>
      <w:r w:rsidR="00C118EE">
        <w:rPr>
          <w:lang w:val="en-US"/>
        </w:rPr>
        <w:t>n</w:t>
      </w:r>
      <w:r>
        <w:rPr>
          <w:lang w:val="en-US"/>
        </w:rPr>
        <w:t xml:space="preserve"> instrument cave insulated by </w:t>
      </w:r>
      <w:r w:rsidR="00292FDD">
        <w:rPr>
          <w:lang w:val="en-US"/>
        </w:rPr>
        <w:t>p</w:t>
      </w:r>
      <w:r>
        <w:rPr>
          <w:lang w:val="en-US"/>
        </w:rPr>
        <w:t>olyisocyanurate panels</w:t>
      </w:r>
      <w:sdt>
        <w:sdtPr>
          <w:rPr>
            <w:lang w:val="en-US"/>
          </w:rPr>
          <w:id w:val="12546626"/>
          <w:citation/>
        </w:sdtPr>
        <w:sdtEndPr>
          <w:rPr>
            <w:vertAlign w:val="superscript"/>
          </w:rPr>
        </w:sdtEndPr>
        <w:sdtContent>
          <w:r w:rsidR="009B29F4" w:rsidRPr="00ED166F">
            <w:rPr>
              <w:vertAlign w:val="superscript"/>
              <w:lang w:val="en-US"/>
            </w:rPr>
            <w:fldChar w:fldCharType="begin"/>
          </w:r>
          <w:r w:rsidRPr="00ED166F">
            <w:rPr>
              <w:vertAlign w:val="superscript"/>
              <w:lang w:val="en-US"/>
            </w:rPr>
            <w:instrText xml:space="preserve"> CITATION JHa09 \l 1040 </w:instrText>
          </w:r>
          <w:r w:rsidR="009B29F4" w:rsidRPr="00ED166F">
            <w:rPr>
              <w:vertAlign w:val="superscript"/>
              <w:lang w:val="en-US"/>
            </w:rPr>
            <w:fldChar w:fldCharType="separate"/>
          </w:r>
          <w:r w:rsidR="00EB71AC">
            <w:rPr>
              <w:noProof/>
              <w:vertAlign w:val="superscript"/>
              <w:lang w:val="en-US"/>
            </w:rPr>
            <w:t xml:space="preserve"> </w:t>
          </w:r>
          <w:r w:rsidR="00EB71AC" w:rsidRPr="00EB71AC">
            <w:rPr>
              <w:noProof/>
              <w:vertAlign w:val="superscript"/>
              <w:lang w:val="en-US"/>
            </w:rPr>
            <w:t>(2)</w:t>
          </w:r>
          <w:r w:rsidR="009B29F4" w:rsidRPr="00ED166F">
            <w:rPr>
              <w:vertAlign w:val="superscript"/>
              <w:lang w:val="en-US"/>
            </w:rPr>
            <w:fldChar w:fldCharType="end"/>
          </w:r>
        </w:sdtContent>
      </w:sdt>
      <w:r>
        <w:rPr>
          <w:lang w:val="en-US"/>
        </w:rPr>
        <w:t xml:space="preserve"> (</w:t>
      </w:r>
      <w:r w:rsidRPr="00ED166F">
        <w:rPr>
          <w:i/>
          <w:lang w:val="en-US"/>
        </w:rPr>
        <w:t>figure 30</w:t>
      </w:r>
      <w:r>
        <w:rPr>
          <w:i/>
          <w:lang w:val="en-US"/>
        </w:rPr>
        <w:t>,</w:t>
      </w:r>
      <w:r w:rsidRPr="00ED166F">
        <w:rPr>
          <w:i/>
          <w:lang w:val="en-US"/>
        </w:rPr>
        <w:t xml:space="preserve"> 31</w:t>
      </w:r>
      <w:r>
        <w:rPr>
          <w:lang w:val="en-US"/>
        </w:rPr>
        <w:t xml:space="preserve">). </w:t>
      </w:r>
    </w:p>
    <w:p w:rsidR="00ED166F" w:rsidRPr="00B5427F" w:rsidRDefault="00ED166F" w:rsidP="00ED166F">
      <w:pPr>
        <w:keepNext/>
        <w:jc w:val="both"/>
        <w:rPr>
          <w:lang w:val="en-US"/>
        </w:rPr>
      </w:pPr>
      <w:r>
        <w:rPr>
          <w:noProof/>
          <w:lang w:eastAsia="it-IT"/>
        </w:rPr>
        <w:drawing>
          <wp:inline distT="0" distB="0" distL="0" distR="0">
            <wp:extent cx="2179320" cy="2906329"/>
            <wp:effectExtent l="19050" t="0" r="0" b="0"/>
            <wp:docPr id="49" name="Immagine 19" descr="C:\FOTOBACKUP\DUGL Pics\IMG_2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FOTOBACKUP\DUGL Pics\IMG_2666.JPG"/>
                    <pic:cNvPicPr>
                      <a:picLocks noChangeAspect="1" noChangeArrowheads="1"/>
                    </pic:cNvPicPr>
                  </pic:nvPicPr>
                  <pic:blipFill>
                    <a:blip r:embed="rId36" cstate="print"/>
                    <a:srcRect/>
                    <a:stretch>
                      <a:fillRect/>
                    </a:stretch>
                  </pic:blipFill>
                  <pic:spPr bwMode="auto">
                    <a:xfrm>
                      <a:off x="0" y="0"/>
                      <a:ext cx="2183407" cy="2911779"/>
                    </a:xfrm>
                    <a:prstGeom prst="rect">
                      <a:avLst/>
                    </a:prstGeom>
                    <a:noFill/>
                    <a:ln w="9525">
                      <a:noFill/>
                      <a:miter lim="800000"/>
                      <a:headEnd/>
                      <a:tailEnd/>
                    </a:ln>
                  </pic:spPr>
                </pic:pic>
              </a:graphicData>
            </a:graphic>
          </wp:inline>
        </w:drawing>
      </w:r>
      <w:r w:rsidR="00A66FC7">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sidRPr="00B5427F">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sidR="001F623F">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Pr>
          <w:noProof/>
          <w:lang w:eastAsia="it-IT"/>
        </w:rPr>
        <w:drawing>
          <wp:inline distT="0" distB="0" distL="0" distR="0">
            <wp:extent cx="3874770" cy="2906787"/>
            <wp:effectExtent l="19050" t="0" r="0" b="0"/>
            <wp:docPr id="50" name="Immagine 20" descr="C:\FOTOBACKUP\DUGL Pics\IMG_2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FOTOBACKUP\DUGL Pics\IMG_2668.JPG"/>
                    <pic:cNvPicPr>
                      <a:picLocks noChangeAspect="1" noChangeArrowheads="1"/>
                    </pic:cNvPicPr>
                  </pic:nvPicPr>
                  <pic:blipFill>
                    <a:blip r:embed="rId37" cstate="print"/>
                    <a:srcRect/>
                    <a:stretch>
                      <a:fillRect/>
                    </a:stretch>
                  </pic:blipFill>
                  <pic:spPr bwMode="auto">
                    <a:xfrm>
                      <a:off x="0" y="0"/>
                      <a:ext cx="3867651" cy="2901446"/>
                    </a:xfrm>
                    <a:prstGeom prst="rect">
                      <a:avLst/>
                    </a:prstGeom>
                    <a:noFill/>
                    <a:ln w="9525">
                      <a:noFill/>
                      <a:miter lim="800000"/>
                      <a:headEnd/>
                      <a:tailEnd/>
                    </a:ln>
                  </pic:spPr>
                </pic:pic>
              </a:graphicData>
            </a:graphic>
          </wp:inline>
        </w:drawing>
      </w:r>
    </w:p>
    <w:p w:rsidR="00ED166F" w:rsidRPr="009C5C0D" w:rsidRDefault="00ED166F" w:rsidP="00ED166F">
      <w:pPr>
        <w:pStyle w:val="Didascalia"/>
        <w:jc w:val="both"/>
        <w:rPr>
          <w:color w:val="1F497D" w:themeColor="text2"/>
          <w:lang w:val="en-US"/>
        </w:rPr>
      </w:pPr>
      <w:r w:rsidRPr="009C5C0D">
        <w:rPr>
          <w:color w:val="1F497D" w:themeColor="text2"/>
          <w:lang w:val="en-US"/>
        </w:rPr>
        <w:t>Figure 30,31: the old station at 2000ft; on the right inside view of the computer hut, on the left</w:t>
      </w:r>
      <w:r w:rsidR="00C118EE">
        <w:rPr>
          <w:color w:val="1F497D" w:themeColor="text2"/>
          <w:lang w:val="en-US"/>
        </w:rPr>
        <w:t xml:space="preserve"> the</w:t>
      </w:r>
      <w:r w:rsidRPr="009C5C0D">
        <w:rPr>
          <w:color w:val="1F497D" w:themeColor="text2"/>
          <w:lang w:val="en-US"/>
        </w:rPr>
        <w:t xml:space="preserve"> insulated cave</w:t>
      </w:r>
      <w:r w:rsidR="00C118EE">
        <w:rPr>
          <w:color w:val="1F497D" w:themeColor="text2"/>
          <w:lang w:val="en-US"/>
        </w:rPr>
        <w:t xml:space="preserve"> for instruments</w:t>
      </w:r>
    </w:p>
    <w:p w:rsidR="009C5C0D" w:rsidRPr="004E74D0" w:rsidRDefault="009C5C0D" w:rsidP="009C5C0D">
      <w:pPr>
        <w:jc w:val="both"/>
        <w:rPr>
          <w:b/>
          <w:sz w:val="24"/>
          <w:szCs w:val="24"/>
          <w:lang w:val="en-US"/>
        </w:rPr>
      </w:pPr>
      <w:r>
        <w:rPr>
          <w:b/>
          <w:sz w:val="24"/>
          <w:szCs w:val="24"/>
          <w:lang w:val="en-US"/>
        </w:rPr>
        <w:t>V.2.</w:t>
      </w:r>
      <w:r w:rsidRPr="004E74D0">
        <w:rPr>
          <w:b/>
          <w:sz w:val="24"/>
          <w:szCs w:val="24"/>
          <w:lang w:val="en-US"/>
        </w:rPr>
        <w:t xml:space="preserve"> construction of the new stations at </w:t>
      </w:r>
      <w:r>
        <w:rPr>
          <w:b/>
          <w:sz w:val="24"/>
          <w:szCs w:val="24"/>
          <w:lang w:val="en-US"/>
        </w:rPr>
        <w:t xml:space="preserve">the 1250 </w:t>
      </w:r>
      <w:r w:rsidRPr="004E74D0">
        <w:rPr>
          <w:b/>
          <w:sz w:val="24"/>
          <w:szCs w:val="24"/>
          <w:lang w:val="en-US"/>
        </w:rPr>
        <w:t>m level</w:t>
      </w:r>
    </w:p>
    <w:p w:rsidR="00ED166F" w:rsidRPr="00C3034B" w:rsidRDefault="00520A32" w:rsidP="000B4B36">
      <w:pPr>
        <w:jc w:val="both"/>
        <w:rPr>
          <w:lang w:val="en-US"/>
        </w:rPr>
      </w:pPr>
      <w:r>
        <w:rPr>
          <w:lang w:val="en-US"/>
        </w:rPr>
        <w:t>The 4100 ft sub-array was made by three stations 90 m distant from each other. The level is</w:t>
      </w:r>
      <w:r w:rsidR="009E1124">
        <w:rPr>
          <w:lang w:val="en-US"/>
        </w:rPr>
        <w:t xml:space="preserve"> warmer than others</w:t>
      </w:r>
      <w:r>
        <w:rPr>
          <w:lang w:val="en-US"/>
        </w:rPr>
        <w:t xml:space="preserve"> and there is a water flow along the opposite side of the tunnel respect to the stations.  </w:t>
      </w:r>
      <w:r w:rsidR="00C3034B" w:rsidRPr="00C3034B">
        <w:rPr>
          <w:lang w:val="en-US"/>
        </w:rPr>
        <w:t>Th</w:t>
      </w:r>
      <w:r w:rsidR="00C3034B">
        <w:rPr>
          <w:lang w:val="en-US"/>
        </w:rPr>
        <w:t xml:space="preserve">e site for the first new station was located in a former deposit consisting of two </w:t>
      </w:r>
      <w:r w:rsidR="00C3034B" w:rsidRPr="00C3034B">
        <w:rPr>
          <w:lang w:val="en-US"/>
        </w:rPr>
        <w:t>contiguous</w:t>
      </w:r>
      <w:r w:rsidR="00C3034B">
        <w:rPr>
          <w:lang w:val="en-US"/>
        </w:rPr>
        <w:t xml:space="preserve"> “rooms” carved into the side of the tunnel</w:t>
      </w:r>
      <w:r w:rsidR="00B5427F">
        <w:rPr>
          <w:lang w:val="en-US"/>
        </w:rPr>
        <w:t xml:space="preserve"> with a concrete base</w:t>
      </w:r>
      <w:r w:rsidR="00FF2686">
        <w:rPr>
          <w:lang w:val="en-US"/>
        </w:rPr>
        <w:t xml:space="preserve"> and grating doors</w:t>
      </w:r>
      <w:r w:rsidR="00B5427F">
        <w:rPr>
          <w:lang w:val="en-US"/>
        </w:rPr>
        <w:t xml:space="preserve">. </w:t>
      </w:r>
      <w:r w:rsidR="009D61E3">
        <w:rPr>
          <w:lang w:val="en-US"/>
        </w:rPr>
        <w:t xml:space="preserve">In the instrument room we prepared two main boxes and covers made by </w:t>
      </w:r>
      <w:r w:rsidR="00292FDD">
        <w:rPr>
          <w:lang w:val="en-US"/>
        </w:rPr>
        <w:t>p</w:t>
      </w:r>
      <w:r w:rsidR="009D61E3">
        <w:rPr>
          <w:lang w:val="en-US"/>
        </w:rPr>
        <w:t xml:space="preserve">olyisocyanurate panels merged with </w:t>
      </w:r>
      <w:r w:rsidR="00292FDD">
        <w:rPr>
          <w:lang w:val="en-US"/>
        </w:rPr>
        <w:t>p</w:t>
      </w:r>
      <w:r w:rsidR="009D61E3">
        <w:rPr>
          <w:lang w:val="en-US"/>
        </w:rPr>
        <w:t>olyurethane foam glue. Inside th</w:t>
      </w:r>
      <w:r w:rsidR="00292FDD">
        <w:rPr>
          <w:lang w:val="en-US"/>
        </w:rPr>
        <w:t>e</w:t>
      </w:r>
      <w:r w:rsidR="009D61E3">
        <w:rPr>
          <w:lang w:val="en-US"/>
        </w:rPr>
        <w:t>s</w:t>
      </w:r>
      <w:r w:rsidR="00292FDD">
        <w:rPr>
          <w:lang w:val="en-US"/>
        </w:rPr>
        <w:t>e</w:t>
      </w:r>
      <w:r w:rsidR="009D61E3">
        <w:rPr>
          <w:lang w:val="en-US"/>
        </w:rPr>
        <w:t xml:space="preserve"> boxes we cemented seven square leveled granite tiles as bases for instruments. </w:t>
      </w:r>
    </w:p>
    <w:p w:rsidR="0019645B" w:rsidRDefault="00C3034B" w:rsidP="0019645B">
      <w:pPr>
        <w:keepNext/>
        <w:jc w:val="both"/>
      </w:pPr>
      <w:r>
        <w:rPr>
          <w:noProof/>
          <w:lang w:eastAsia="it-IT"/>
        </w:rPr>
        <w:lastRenderedPageBreak/>
        <w:drawing>
          <wp:inline distT="0" distB="0" distL="0" distR="0">
            <wp:extent cx="2985770" cy="2239328"/>
            <wp:effectExtent l="19050" t="0" r="5080" b="0"/>
            <wp:docPr id="6" name="Immagine 1" descr="C:\FOTOBACKUP\P100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OTOBACKUP\P1000877.JPG"/>
                    <pic:cNvPicPr>
                      <a:picLocks noChangeAspect="1" noChangeArrowheads="1"/>
                    </pic:cNvPicPr>
                  </pic:nvPicPr>
                  <pic:blipFill>
                    <a:blip r:embed="rId38" cstate="print"/>
                    <a:srcRect/>
                    <a:stretch>
                      <a:fillRect/>
                    </a:stretch>
                  </pic:blipFill>
                  <pic:spPr bwMode="auto">
                    <a:xfrm>
                      <a:off x="0" y="0"/>
                      <a:ext cx="2987630" cy="2240723"/>
                    </a:xfrm>
                    <a:prstGeom prst="rect">
                      <a:avLst/>
                    </a:prstGeom>
                    <a:noFill/>
                    <a:ln w="9525">
                      <a:noFill/>
                      <a:miter lim="800000"/>
                      <a:headEnd/>
                      <a:tailEnd/>
                    </a:ln>
                  </pic:spPr>
                </pic:pic>
              </a:graphicData>
            </a:graphic>
          </wp:inline>
        </w:drawing>
      </w:r>
      <w:r>
        <w:rPr>
          <w:noProof/>
          <w:lang w:eastAsia="it-IT"/>
        </w:rPr>
        <w:drawing>
          <wp:inline distT="0" distB="0" distL="0" distR="0">
            <wp:extent cx="2983230" cy="2237968"/>
            <wp:effectExtent l="19050" t="0" r="7620" b="0"/>
            <wp:docPr id="9" name="Immagine 2" descr="C:\FOTOBACKUP\DUGL Pics\IMG_2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OTOBACKUP\DUGL Pics\IMG_2671.JPG"/>
                    <pic:cNvPicPr>
                      <a:picLocks noChangeAspect="1" noChangeArrowheads="1"/>
                    </pic:cNvPicPr>
                  </pic:nvPicPr>
                  <pic:blipFill>
                    <a:blip r:embed="rId39" cstate="print"/>
                    <a:srcRect/>
                    <a:stretch>
                      <a:fillRect/>
                    </a:stretch>
                  </pic:blipFill>
                  <pic:spPr bwMode="auto">
                    <a:xfrm>
                      <a:off x="0" y="0"/>
                      <a:ext cx="2991788" cy="2244388"/>
                    </a:xfrm>
                    <a:prstGeom prst="rect">
                      <a:avLst/>
                    </a:prstGeom>
                    <a:noFill/>
                    <a:ln w="9525">
                      <a:noFill/>
                      <a:miter lim="800000"/>
                      <a:headEnd/>
                      <a:tailEnd/>
                    </a:ln>
                  </pic:spPr>
                </pic:pic>
              </a:graphicData>
            </a:graphic>
          </wp:inline>
        </w:drawing>
      </w:r>
    </w:p>
    <w:p w:rsidR="009C5C0D" w:rsidRPr="0019645B" w:rsidRDefault="0019645B" w:rsidP="0019645B">
      <w:pPr>
        <w:pStyle w:val="Didascalia"/>
        <w:jc w:val="both"/>
        <w:rPr>
          <w:color w:val="1F497D" w:themeColor="text2"/>
          <w:lang w:val="en-US"/>
        </w:rPr>
      </w:pPr>
      <w:r w:rsidRPr="0019645B">
        <w:rPr>
          <w:color w:val="1F497D" w:themeColor="text2"/>
          <w:lang w:val="en-US"/>
        </w:rPr>
        <w:t xml:space="preserve">Figure 32,33: 4100 ft first station during the construction. In the left figure the former deposit used as computer room is shown; in the right figure the two instrument </w:t>
      </w:r>
      <w:r w:rsidR="00292FDD">
        <w:rPr>
          <w:color w:val="1F497D" w:themeColor="text2"/>
          <w:lang w:val="en-US"/>
        </w:rPr>
        <w:t>p</w:t>
      </w:r>
      <w:r w:rsidRPr="0019645B">
        <w:rPr>
          <w:color w:val="1F497D" w:themeColor="text2"/>
          <w:lang w:val="en-US"/>
        </w:rPr>
        <w:t>olyisocyanurate boxes are shown: the seismometer was placed in the single-tile box on the right.</w:t>
      </w:r>
    </w:p>
    <w:p w:rsidR="00FF2686" w:rsidRDefault="00FF2686" w:rsidP="000B4B36">
      <w:pPr>
        <w:jc w:val="both"/>
        <w:rPr>
          <w:lang w:val="en-US"/>
        </w:rPr>
      </w:pPr>
      <w:r>
        <w:rPr>
          <w:lang w:val="en-US"/>
        </w:rPr>
        <w:t xml:space="preserve">In the computer room we built a wood table </w:t>
      </w:r>
      <w:r w:rsidR="00764D88">
        <w:rPr>
          <w:lang w:val="en-US"/>
        </w:rPr>
        <w:t xml:space="preserve">for the computer, DC power supply, </w:t>
      </w:r>
      <w:r>
        <w:rPr>
          <w:lang w:val="en-US"/>
        </w:rPr>
        <w:t>UPS</w:t>
      </w:r>
      <w:r w:rsidR="00764D88">
        <w:rPr>
          <w:lang w:val="en-US"/>
        </w:rPr>
        <w:t>,</w:t>
      </w:r>
      <w:r w:rsidR="00764D88" w:rsidRPr="00764D88">
        <w:rPr>
          <w:lang w:val="en-US"/>
        </w:rPr>
        <w:t xml:space="preserve"> </w:t>
      </w:r>
      <w:r w:rsidR="00764D88">
        <w:rPr>
          <w:lang w:val="en-US"/>
        </w:rPr>
        <w:t xml:space="preserve">DAQ with signal amplifier. </w:t>
      </w:r>
      <w:r w:rsidR="0018265F">
        <w:rPr>
          <w:lang w:val="en-US"/>
        </w:rPr>
        <w:t xml:space="preserve">Two </w:t>
      </w:r>
      <w:r w:rsidR="00292FDD">
        <w:rPr>
          <w:lang w:val="en-US"/>
        </w:rPr>
        <w:t>p</w:t>
      </w:r>
      <w:r w:rsidR="0018265F">
        <w:rPr>
          <w:lang w:val="en-US"/>
        </w:rPr>
        <w:t xml:space="preserve">olyisocyanurate doors were built in order to grant a good insulation. </w:t>
      </w:r>
      <w:r w:rsidR="00764D88">
        <w:rPr>
          <w:lang w:val="en-US"/>
        </w:rPr>
        <w:t xml:space="preserve">The two rooms were wired </w:t>
      </w:r>
      <w:r w:rsidR="0019645B">
        <w:rPr>
          <w:lang w:val="en-US"/>
        </w:rPr>
        <w:t xml:space="preserve">one </w:t>
      </w:r>
      <w:r w:rsidR="0018265F">
        <w:rPr>
          <w:lang w:val="en-US"/>
        </w:rPr>
        <w:t>to</w:t>
      </w:r>
      <w:r w:rsidR="00764D88">
        <w:rPr>
          <w:lang w:val="en-US"/>
        </w:rPr>
        <w:t xml:space="preserve"> each other</w:t>
      </w:r>
      <w:r w:rsidR="0019645B">
        <w:rPr>
          <w:lang w:val="en-US"/>
        </w:rPr>
        <w:t xml:space="preserve"> and to the electric and network box </w:t>
      </w:r>
      <w:r w:rsidR="0018265F">
        <w:rPr>
          <w:lang w:val="en-US"/>
        </w:rPr>
        <w:t>provided by Sanford Laboratory. The station is connected and operative.</w:t>
      </w:r>
    </w:p>
    <w:p w:rsidR="0019645B" w:rsidRPr="00126257" w:rsidRDefault="008E12BA" w:rsidP="0019645B">
      <w:pPr>
        <w:keepNext/>
        <w:jc w:val="both"/>
        <w:rPr>
          <w:lang w:val="en-US"/>
        </w:rPr>
      </w:pPr>
      <w:r>
        <w:rPr>
          <w:noProof/>
          <w:lang w:eastAsia="it-IT"/>
        </w:rPr>
        <w:drawing>
          <wp:inline distT="0" distB="0" distL="0" distR="0">
            <wp:extent cx="2160270" cy="2880922"/>
            <wp:effectExtent l="19050" t="0" r="0" b="0"/>
            <wp:docPr id="11" name="Immagine 3" descr="C:\FOTOBACKUP\DUGL Pics\IMG_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OBACKUP\DUGL Pics\IMG_2710.JPG"/>
                    <pic:cNvPicPr>
                      <a:picLocks noChangeAspect="1" noChangeArrowheads="1"/>
                    </pic:cNvPicPr>
                  </pic:nvPicPr>
                  <pic:blipFill>
                    <a:blip r:embed="rId40" cstate="print"/>
                    <a:srcRect/>
                    <a:stretch>
                      <a:fillRect/>
                    </a:stretch>
                  </pic:blipFill>
                  <pic:spPr bwMode="auto">
                    <a:xfrm>
                      <a:off x="0" y="0"/>
                      <a:ext cx="2160468" cy="2881185"/>
                    </a:xfrm>
                    <a:prstGeom prst="rect">
                      <a:avLst/>
                    </a:prstGeom>
                    <a:noFill/>
                    <a:ln w="9525">
                      <a:noFill/>
                      <a:miter lim="800000"/>
                      <a:headEnd/>
                      <a:tailEnd/>
                    </a:ln>
                  </pic:spPr>
                </pic:pic>
              </a:graphicData>
            </a:graphic>
          </wp:inline>
        </w:drawing>
      </w:r>
      <w:r w:rsidRPr="00126257">
        <w:rPr>
          <w:lang w:val="en-US"/>
        </w:rPr>
        <w:t xml:space="preserve"> </w:t>
      </w:r>
      <w:r>
        <w:rPr>
          <w:noProof/>
          <w:lang w:eastAsia="it-IT"/>
        </w:rPr>
        <w:drawing>
          <wp:inline distT="0" distB="0" distL="0" distR="0">
            <wp:extent cx="3839544" cy="2880360"/>
            <wp:effectExtent l="19050" t="0" r="8556" b="0"/>
            <wp:docPr id="17" name="Immagine 4" descr="C:\FOTOBACKUP\DUGL Pics\IMG_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OBACKUP\DUGL Pics\IMG_2723.JPG"/>
                    <pic:cNvPicPr>
                      <a:picLocks noChangeAspect="1" noChangeArrowheads="1"/>
                    </pic:cNvPicPr>
                  </pic:nvPicPr>
                  <pic:blipFill>
                    <a:blip r:embed="rId41" cstate="print"/>
                    <a:srcRect/>
                    <a:stretch>
                      <a:fillRect/>
                    </a:stretch>
                  </pic:blipFill>
                  <pic:spPr bwMode="auto">
                    <a:xfrm>
                      <a:off x="0" y="0"/>
                      <a:ext cx="3840698" cy="2881226"/>
                    </a:xfrm>
                    <a:prstGeom prst="rect">
                      <a:avLst/>
                    </a:prstGeom>
                    <a:noFill/>
                    <a:ln w="9525">
                      <a:noFill/>
                      <a:miter lim="800000"/>
                      <a:headEnd/>
                      <a:tailEnd/>
                    </a:ln>
                  </pic:spPr>
                </pic:pic>
              </a:graphicData>
            </a:graphic>
          </wp:inline>
        </w:drawing>
      </w:r>
    </w:p>
    <w:p w:rsidR="00C3034B" w:rsidRPr="00841FEF" w:rsidRDefault="0019645B" w:rsidP="0019645B">
      <w:pPr>
        <w:pStyle w:val="Didascalia"/>
        <w:jc w:val="both"/>
        <w:rPr>
          <w:color w:val="1F497D" w:themeColor="text2"/>
          <w:lang w:val="en-US"/>
        </w:rPr>
      </w:pPr>
      <w:r w:rsidRPr="00841FEF">
        <w:rPr>
          <w:color w:val="1F497D" w:themeColor="text2"/>
          <w:lang w:val="en-US"/>
        </w:rPr>
        <w:t xml:space="preserve">Figure 34,35: </w:t>
      </w:r>
      <w:r w:rsidR="00CF7D4E">
        <w:rPr>
          <w:color w:val="1F497D" w:themeColor="text2"/>
          <w:lang w:val="en-US"/>
        </w:rPr>
        <w:t xml:space="preserve">granite </w:t>
      </w:r>
      <w:r w:rsidRPr="00841FEF">
        <w:rPr>
          <w:color w:val="1F497D" w:themeColor="text2"/>
          <w:lang w:val="en-US"/>
        </w:rPr>
        <w:t>tiles</w:t>
      </w:r>
      <w:r w:rsidR="00CF7D4E">
        <w:rPr>
          <w:color w:val="1F497D" w:themeColor="text2"/>
          <w:lang w:val="en-US"/>
        </w:rPr>
        <w:t xml:space="preserve"> placed</w:t>
      </w:r>
      <w:r w:rsidRPr="00841FEF">
        <w:rPr>
          <w:color w:val="1F497D" w:themeColor="text2"/>
          <w:lang w:val="en-US"/>
        </w:rPr>
        <w:t xml:space="preserve"> inside the additional instrument box</w:t>
      </w:r>
      <w:r w:rsidR="00841FEF" w:rsidRPr="00841FEF">
        <w:rPr>
          <w:color w:val="1F497D" w:themeColor="text2"/>
          <w:lang w:val="en-US"/>
        </w:rPr>
        <w:t>; DUGL team in the computer room, left to right: Mark Beker and Jo van den Brand (Nikhef, Netherlands), Luca Naticchioni (Sapienza-INFN, Italy), Jan Harms (University of Minnesota), Thomas O’Keefe (Saint Louis University), seated Guido Muller (University of Florida)</w:t>
      </w:r>
    </w:p>
    <w:p w:rsidR="0019645B" w:rsidRPr="00CF7D4E" w:rsidRDefault="0019645B" w:rsidP="000B4B36">
      <w:pPr>
        <w:jc w:val="both"/>
        <w:rPr>
          <w:lang w:val="en-US"/>
        </w:rPr>
      </w:pPr>
      <w:r w:rsidRPr="0019645B">
        <w:rPr>
          <w:lang w:val="en-US"/>
        </w:rPr>
        <w:t>The other two new s</w:t>
      </w:r>
      <w:r>
        <w:rPr>
          <w:lang w:val="en-US"/>
        </w:rPr>
        <w:t xml:space="preserve">tations at 4100 ft were </w:t>
      </w:r>
      <w:r w:rsidR="00CF7D4E">
        <w:rPr>
          <w:lang w:val="en-US"/>
        </w:rPr>
        <w:t>placed</w:t>
      </w:r>
      <w:r w:rsidR="00841FEF">
        <w:rPr>
          <w:lang w:val="en-US"/>
        </w:rPr>
        <w:t xml:space="preserve"> in two former </w:t>
      </w:r>
      <w:r w:rsidR="00292FDD">
        <w:rPr>
          <w:lang w:val="en-US"/>
        </w:rPr>
        <w:t>airlocks</w:t>
      </w:r>
      <w:r w:rsidR="00CF7D4E">
        <w:rPr>
          <w:lang w:val="en-US"/>
        </w:rPr>
        <w:t xml:space="preserve"> along the tunnel. For both we</w:t>
      </w:r>
      <w:r w:rsidR="00CF7D4E" w:rsidRPr="00CF7D4E">
        <w:rPr>
          <w:lang w:val="en-US"/>
        </w:rPr>
        <w:t xml:space="preserve"> </w:t>
      </w:r>
      <w:r w:rsidR="00CF7D4E">
        <w:rPr>
          <w:lang w:val="en-US"/>
        </w:rPr>
        <w:t xml:space="preserve">needed to scale and shovel away rocks from above the tunnel and inside the </w:t>
      </w:r>
      <w:r w:rsidR="00292FDD">
        <w:rPr>
          <w:lang w:val="en-US"/>
        </w:rPr>
        <w:t>airlocks</w:t>
      </w:r>
      <w:r w:rsidR="004B431B">
        <w:rPr>
          <w:lang w:val="en-US"/>
        </w:rPr>
        <w:t xml:space="preserve">. Once the sites were clear, we placed and cemented one square granite tiles inside each </w:t>
      </w:r>
      <w:r w:rsidR="00292FDD">
        <w:rPr>
          <w:lang w:val="en-US"/>
        </w:rPr>
        <w:t>airlock</w:t>
      </w:r>
      <w:r w:rsidR="004B431B">
        <w:rPr>
          <w:lang w:val="en-US"/>
        </w:rPr>
        <w:t xml:space="preserve">. We closed the former doors of these </w:t>
      </w:r>
      <w:r w:rsidR="00292FDD">
        <w:rPr>
          <w:lang w:val="en-US"/>
        </w:rPr>
        <w:t>room</w:t>
      </w:r>
      <w:r w:rsidR="004B431B">
        <w:rPr>
          <w:lang w:val="en-US"/>
        </w:rPr>
        <w:t xml:space="preserve">s with double-layer </w:t>
      </w:r>
      <w:r w:rsidR="00292FDD">
        <w:rPr>
          <w:lang w:val="en-US"/>
        </w:rPr>
        <w:t>p</w:t>
      </w:r>
      <w:r w:rsidR="004B431B">
        <w:rPr>
          <w:lang w:val="en-US"/>
        </w:rPr>
        <w:t xml:space="preserve">olyisocyanurate panels insulated and merged with </w:t>
      </w:r>
      <w:r w:rsidR="00292FDD">
        <w:rPr>
          <w:lang w:val="en-US"/>
        </w:rPr>
        <w:t>p</w:t>
      </w:r>
      <w:r w:rsidR="004B431B">
        <w:rPr>
          <w:lang w:val="en-US"/>
        </w:rPr>
        <w:t>olyurethane foam glue</w:t>
      </w:r>
      <w:r w:rsidR="00520A32">
        <w:rPr>
          <w:lang w:val="en-US"/>
        </w:rPr>
        <w:t>,</w:t>
      </w:r>
      <w:r w:rsidR="004B431B">
        <w:rPr>
          <w:lang w:val="en-US"/>
        </w:rPr>
        <w:t xml:space="preserve"> and we carved a closable door </w:t>
      </w:r>
      <w:r w:rsidR="00520A32">
        <w:rPr>
          <w:lang w:val="en-US"/>
        </w:rPr>
        <w:t xml:space="preserve">in </w:t>
      </w:r>
      <w:r w:rsidR="004B431B">
        <w:rPr>
          <w:lang w:val="en-US"/>
        </w:rPr>
        <w:t>each one. For both the station</w:t>
      </w:r>
      <w:r w:rsidR="0018265F">
        <w:rPr>
          <w:lang w:val="en-US"/>
        </w:rPr>
        <w:t>s</w:t>
      </w:r>
      <w:r w:rsidR="004B431B">
        <w:rPr>
          <w:lang w:val="en-US"/>
        </w:rPr>
        <w:t xml:space="preserve"> we constructed an external cubic computer hut using the insulating panels</w:t>
      </w:r>
      <w:r w:rsidR="0018265F">
        <w:rPr>
          <w:lang w:val="en-US"/>
        </w:rPr>
        <w:t>. At August 2009 the network connection in these two sites was still under development by Sanford Laboratory. However the stations were wired, waiting for the network connection in the electric boxes.</w:t>
      </w:r>
    </w:p>
    <w:p w:rsidR="00520A32" w:rsidRPr="00126257" w:rsidRDefault="0018265F" w:rsidP="00520A32">
      <w:pPr>
        <w:keepNext/>
        <w:jc w:val="both"/>
        <w:rPr>
          <w:lang w:val="en-US"/>
        </w:rPr>
      </w:pPr>
      <w:r>
        <w:rPr>
          <w:noProof/>
          <w:lang w:eastAsia="it-IT"/>
        </w:rPr>
        <w:lastRenderedPageBreak/>
        <w:drawing>
          <wp:inline distT="0" distB="0" distL="0" distR="0">
            <wp:extent cx="2994646" cy="3991888"/>
            <wp:effectExtent l="19050" t="0" r="0" b="0"/>
            <wp:docPr id="19" name="Immagine 1" descr="C:\FOTOBACKUP\P101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OTOBACKUP\P1010527.JPG"/>
                    <pic:cNvPicPr>
                      <a:picLocks noChangeAspect="1" noChangeArrowheads="1"/>
                    </pic:cNvPicPr>
                  </pic:nvPicPr>
                  <pic:blipFill>
                    <a:blip r:embed="rId42" cstate="print"/>
                    <a:srcRect/>
                    <a:stretch>
                      <a:fillRect/>
                    </a:stretch>
                  </pic:blipFill>
                  <pic:spPr bwMode="auto">
                    <a:xfrm>
                      <a:off x="0" y="0"/>
                      <a:ext cx="2994711" cy="3991974"/>
                    </a:xfrm>
                    <a:prstGeom prst="rect">
                      <a:avLst/>
                    </a:prstGeom>
                    <a:noFill/>
                    <a:ln w="9525">
                      <a:noFill/>
                      <a:miter lim="800000"/>
                      <a:headEnd/>
                      <a:tailEnd/>
                    </a:ln>
                  </pic:spPr>
                </pic:pic>
              </a:graphicData>
            </a:graphic>
          </wp:inline>
        </w:drawing>
      </w:r>
      <w:r w:rsidR="00520A32" w:rsidRPr="00126257">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sidR="00520A32">
        <w:rPr>
          <w:noProof/>
          <w:lang w:eastAsia="it-IT"/>
        </w:rPr>
        <w:drawing>
          <wp:inline distT="0" distB="0" distL="0" distR="0">
            <wp:extent cx="2994671" cy="3991921"/>
            <wp:effectExtent l="19050" t="0" r="0" b="0"/>
            <wp:docPr id="21" name="Immagine 2" descr="C:\FOTOBACKUP\P101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OTOBACKUP\P1010528.JPG"/>
                    <pic:cNvPicPr>
                      <a:picLocks noChangeAspect="1" noChangeArrowheads="1"/>
                    </pic:cNvPicPr>
                  </pic:nvPicPr>
                  <pic:blipFill>
                    <a:blip r:embed="rId43" cstate="print"/>
                    <a:srcRect/>
                    <a:stretch>
                      <a:fillRect/>
                    </a:stretch>
                  </pic:blipFill>
                  <pic:spPr bwMode="auto">
                    <a:xfrm>
                      <a:off x="0" y="0"/>
                      <a:ext cx="2991759" cy="3988039"/>
                    </a:xfrm>
                    <a:prstGeom prst="rect">
                      <a:avLst/>
                    </a:prstGeom>
                    <a:noFill/>
                    <a:ln w="9525">
                      <a:noFill/>
                      <a:miter lim="800000"/>
                      <a:headEnd/>
                      <a:tailEnd/>
                    </a:ln>
                  </pic:spPr>
                </pic:pic>
              </a:graphicData>
            </a:graphic>
          </wp:inline>
        </w:drawing>
      </w:r>
    </w:p>
    <w:p w:rsidR="0018265F" w:rsidRPr="009E1124" w:rsidRDefault="00520A32" w:rsidP="00520A32">
      <w:pPr>
        <w:pStyle w:val="Didascalia"/>
        <w:jc w:val="both"/>
        <w:rPr>
          <w:color w:val="1F497D" w:themeColor="text2"/>
          <w:lang w:val="en-US"/>
        </w:rPr>
      </w:pPr>
      <w:r w:rsidRPr="009E1124">
        <w:rPr>
          <w:color w:val="1F497D" w:themeColor="text2"/>
          <w:lang w:val="en-US"/>
        </w:rPr>
        <w:t xml:space="preserve">Figure 36,37: two of the new 4100ft stations are </w:t>
      </w:r>
      <w:r w:rsidR="009E1124" w:rsidRPr="009E1124">
        <w:rPr>
          <w:color w:val="1F497D" w:themeColor="text2"/>
          <w:lang w:val="en-US"/>
        </w:rPr>
        <w:t xml:space="preserve">similar </w:t>
      </w:r>
      <w:r w:rsidRPr="009E1124">
        <w:rPr>
          <w:color w:val="1F497D" w:themeColor="text2"/>
          <w:lang w:val="en-US"/>
        </w:rPr>
        <w:t>a</w:t>
      </w:r>
      <w:r w:rsidR="00292FDD">
        <w:rPr>
          <w:color w:val="1F497D" w:themeColor="text2"/>
          <w:lang w:val="en-US"/>
        </w:rPr>
        <w:t>nd located in two former airlock</w:t>
      </w:r>
      <w:r w:rsidRPr="009E1124">
        <w:rPr>
          <w:color w:val="1F497D" w:themeColor="text2"/>
          <w:lang w:val="en-US"/>
        </w:rPr>
        <w:t>s; figure 36 shows the external cubic computer hut</w:t>
      </w:r>
      <w:r w:rsidR="009E1124" w:rsidRPr="009E1124">
        <w:rPr>
          <w:color w:val="1F497D" w:themeColor="text2"/>
          <w:lang w:val="en-US"/>
        </w:rPr>
        <w:t>, in figure 37 the double-layer Polyisocyanurate insulation</w:t>
      </w:r>
      <w:r w:rsidR="007577B9">
        <w:rPr>
          <w:color w:val="1F497D" w:themeColor="text2"/>
          <w:lang w:val="en-US"/>
        </w:rPr>
        <w:t xml:space="preserve"> for the instrument room</w:t>
      </w:r>
      <w:r w:rsidR="009E1124" w:rsidRPr="009E1124">
        <w:rPr>
          <w:color w:val="1F497D" w:themeColor="text2"/>
          <w:lang w:val="en-US"/>
        </w:rPr>
        <w:t xml:space="preserve"> is shown</w:t>
      </w:r>
    </w:p>
    <w:p w:rsidR="00F71689" w:rsidRPr="00DD31A3" w:rsidRDefault="00F71689" w:rsidP="000B4B36">
      <w:pPr>
        <w:jc w:val="both"/>
        <w:rPr>
          <w:lang w:val="en-US"/>
        </w:rPr>
      </w:pPr>
      <w:r>
        <w:rPr>
          <w:lang w:val="en-US"/>
        </w:rPr>
        <w:t>The array of seis</w:t>
      </w:r>
      <w:r w:rsidR="007577B9">
        <w:rPr>
          <w:lang w:val="en-US"/>
        </w:rPr>
        <w:t>mometer stations is completed by</w:t>
      </w:r>
      <w:r>
        <w:rPr>
          <w:lang w:val="en-US"/>
        </w:rPr>
        <w:t xml:space="preserve"> the old stations at </w:t>
      </w:r>
      <w:r w:rsidR="00DD31A3">
        <w:rPr>
          <w:lang w:val="en-US"/>
        </w:rPr>
        <w:t>90 m and 240 m, built in 2008</w:t>
      </w:r>
      <w:sdt>
        <w:sdtPr>
          <w:rPr>
            <w:lang w:val="en-US"/>
          </w:rPr>
          <w:id w:val="16590251"/>
          <w:citation/>
        </w:sdtPr>
        <w:sdtEndPr>
          <w:rPr>
            <w:vertAlign w:val="superscript"/>
          </w:rPr>
        </w:sdtEndPr>
        <w:sdtContent>
          <w:r w:rsidR="009B29F4" w:rsidRPr="00DD31A3">
            <w:rPr>
              <w:vertAlign w:val="superscript"/>
              <w:lang w:val="en-US"/>
            </w:rPr>
            <w:fldChar w:fldCharType="begin"/>
          </w:r>
          <w:r w:rsidR="00DD31A3" w:rsidRPr="00DD31A3">
            <w:rPr>
              <w:vertAlign w:val="superscript"/>
              <w:lang w:val="en-US"/>
            </w:rPr>
            <w:instrText xml:space="preserve"> CITATION JHa09 \l 1040 </w:instrText>
          </w:r>
          <w:r w:rsidR="009B29F4" w:rsidRPr="00DD31A3">
            <w:rPr>
              <w:vertAlign w:val="superscript"/>
              <w:lang w:val="en-US"/>
            </w:rPr>
            <w:fldChar w:fldCharType="separate"/>
          </w:r>
          <w:r w:rsidR="00EB71AC">
            <w:rPr>
              <w:noProof/>
              <w:vertAlign w:val="superscript"/>
              <w:lang w:val="en-US"/>
            </w:rPr>
            <w:t xml:space="preserve"> </w:t>
          </w:r>
          <w:r w:rsidR="00EB71AC" w:rsidRPr="00EB71AC">
            <w:rPr>
              <w:noProof/>
              <w:vertAlign w:val="superscript"/>
              <w:lang w:val="en-US"/>
            </w:rPr>
            <w:t>(2)</w:t>
          </w:r>
          <w:r w:rsidR="009B29F4" w:rsidRPr="00DD31A3">
            <w:rPr>
              <w:vertAlign w:val="superscript"/>
              <w:lang w:val="en-US"/>
            </w:rPr>
            <w:fldChar w:fldCharType="end"/>
          </w:r>
        </w:sdtContent>
      </w:sdt>
      <w:r w:rsidR="00DD31A3">
        <w:rPr>
          <w:lang w:val="en-US"/>
        </w:rPr>
        <w:t xml:space="preserve">: at these levels humidity is high and water intrusion is significant; huts and boxes were made with the same insulating panels we used for the new stations. We fixed the </w:t>
      </w:r>
      <w:r w:rsidR="007577B9">
        <w:rPr>
          <w:lang w:val="en-US"/>
        </w:rPr>
        <w:t xml:space="preserve">configuration of these stations </w:t>
      </w:r>
      <w:r w:rsidR="00DD31A3">
        <w:rPr>
          <w:lang w:val="en-US"/>
        </w:rPr>
        <w:t xml:space="preserve">placing </w:t>
      </w:r>
      <w:r w:rsidR="007577B9">
        <w:rPr>
          <w:lang w:val="en-US"/>
        </w:rPr>
        <w:t>one</w:t>
      </w:r>
      <w:r w:rsidR="00DD31A3">
        <w:rPr>
          <w:lang w:val="en-US"/>
        </w:rPr>
        <w:t xml:space="preserve"> </w:t>
      </w:r>
      <w:r w:rsidR="007577B9">
        <w:rPr>
          <w:lang w:val="en-US"/>
        </w:rPr>
        <w:t xml:space="preserve">Güralp seismometer </w:t>
      </w:r>
      <w:r w:rsidR="007577B9">
        <w:rPr>
          <w:bCs/>
          <w:lang w:val="en-US"/>
        </w:rPr>
        <w:t>at 90 m,</w:t>
      </w:r>
      <w:r w:rsidR="00DD31A3">
        <w:rPr>
          <w:bCs/>
          <w:lang w:val="en-US"/>
        </w:rPr>
        <w:t xml:space="preserve"> one Trillium 240 at 240 m</w:t>
      </w:r>
      <w:r w:rsidR="00DD31A3">
        <w:rPr>
          <w:lang w:val="en-US"/>
        </w:rPr>
        <w:t xml:space="preserve"> and </w:t>
      </w:r>
      <w:r w:rsidR="007577B9">
        <w:rPr>
          <w:lang w:val="en-US"/>
        </w:rPr>
        <w:t xml:space="preserve">replacing </w:t>
      </w:r>
      <w:r w:rsidR="00DD31A3">
        <w:rPr>
          <w:lang w:val="en-US"/>
        </w:rPr>
        <w:t>the sensor boards.</w:t>
      </w:r>
    </w:p>
    <w:p w:rsidR="00996186" w:rsidRPr="00126257" w:rsidRDefault="00F71689" w:rsidP="00996186">
      <w:pPr>
        <w:keepNext/>
        <w:jc w:val="both"/>
        <w:rPr>
          <w:lang w:val="en-US"/>
        </w:rPr>
      </w:pPr>
      <w:r>
        <w:rPr>
          <w:noProof/>
          <w:lang w:eastAsia="it-IT"/>
        </w:rPr>
        <w:drawing>
          <wp:inline distT="0" distB="0" distL="0" distR="0">
            <wp:extent cx="3016785" cy="2263140"/>
            <wp:effectExtent l="19050" t="0" r="0" b="0"/>
            <wp:docPr id="22" name="Immagine 3" descr="C:\FOTOBACKUP\P101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OBACKUP\P1010532.JPG"/>
                    <pic:cNvPicPr>
                      <a:picLocks noChangeAspect="1" noChangeArrowheads="1"/>
                    </pic:cNvPicPr>
                  </pic:nvPicPr>
                  <pic:blipFill>
                    <a:blip r:embed="rId44" cstate="print"/>
                    <a:srcRect/>
                    <a:stretch>
                      <a:fillRect/>
                    </a:stretch>
                  </pic:blipFill>
                  <pic:spPr bwMode="auto">
                    <a:xfrm>
                      <a:off x="0" y="0"/>
                      <a:ext cx="3021365" cy="2266576"/>
                    </a:xfrm>
                    <a:prstGeom prst="rect">
                      <a:avLst/>
                    </a:prstGeom>
                    <a:noFill/>
                    <a:ln w="9525">
                      <a:noFill/>
                      <a:miter lim="800000"/>
                      <a:headEnd/>
                      <a:tailEnd/>
                    </a:ln>
                  </pic:spPr>
                </pic:pic>
              </a:graphicData>
            </a:graphic>
          </wp:inline>
        </w:drawing>
      </w:r>
      <w:r w:rsidRPr="00126257">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sidR="001F623F">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Pr>
          <w:noProof/>
          <w:lang w:eastAsia="it-IT"/>
        </w:rPr>
        <w:drawing>
          <wp:inline distT="0" distB="0" distL="0" distR="0">
            <wp:extent cx="3013710" cy="2260283"/>
            <wp:effectExtent l="19050" t="0" r="0" b="0"/>
            <wp:docPr id="23" name="Immagine 4" descr="C:\FOTOBACKUP\P100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OBACKUP\P1000904.JPG"/>
                    <pic:cNvPicPr>
                      <a:picLocks noChangeAspect="1" noChangeArrowheads="1"/>
                    </pic:cNvPicPr>
                  </pic:nvPicPr>
                  <pic:blipFill>
                    <a:blip r:embed="rId45" cstate="print"/>
                    <a:srcRect/>
                    <a:stretch>
                      <a:fillRect/>
                    </a:stretch>
                  </pic:blipFill>
                  <pic:spPr bwMode="auto">
                    <a:xfrm>
                      <a:off x="0" y="0"/>
                      <a:ext cx="3018812" cy="2264110"/>
                    </a:xfrm>
                    <a:prstGeom prst="rect">
                      <a:avLst/>
                    </a:prstGeom>
                    <a:noFill/>
                    <a:ln w="9525">
                      <a:noFill/>
                      <a:miter lim="800000"/>
                      <a:headEnd/>
                      <a:tailEnd/>
                    </a:ln>
                  </pic:spPr>
                </pic:pic>
              </a:graphicData>
            </a:graphic>
          </wp:inline>
        </w:drawing>
      </w:r>
    </w:p>
    <w:p w:rsidR="00F71689" w:rsidRPr="00996186" w:rsidRDefault="00996186" w:rsidP="00996186">
      <w:pPr>
        <w:pStyle w:val="Didascalia"/>
        <w:jc w:val="both"/>
        <w:rPr>
          <w:color w:val="1F497D" w:themeColor="text2"/>
          <w:lang w:val="en-US"/>
        </w:rPr>
      </w:pPr>
      <w:r w:rsidRPr="00996186">
        <w:rPr>
          <w:color w:val="1F497D" w:themeColor="text2"/>
          <w:lang w:val="en-US"/>
        </w:rPr>
        <w:t>Figure 38,39: the old stations at 90m and 240m levels</w:t>
      </w:r>
    </w:p>
    <w:p w:rsidR="00F71689" w:rsidRPr="00DD31A3" w:rsidRDefault="00F71689" w:rsidP="000B4B36">
      <w:pPr>
        <w:jc w:val="both"/>
        <w:rPr>
          <w:lang w:val="en-US"/>
        </w:rPr>
      </w:pPr>
    </w:p>
    <w:p w:rsidR="00996186" w:rsidRDefault="00996186" w:rsidP="000B4B36">
      <w:pPr>
        <w:jc w:val="both"/>
        <w:rPr>
          <w:lang w:val="en-US"/>
        </w:rPr>
      </w:pPr>
    </w:p>
    <w:p w:rsidR="00996186" w:rsidRDefault="00996186" w:rsidP="000B4B36">
      <w:pPr>
        <w:jc w:val="both"/>
        <w:rPr>
          <w:lang w:val="en-US"/>
        </w:rPr>
      </w:pPr>
    </w:p>
    <w:p w:rsidR="00996186" w:rsidRDefault="00996186" w:rsidP="00996186">
      <w:pPr>
        <w:jc w:val="both"/>
        <w:rPr>
          <w:b/>
          <w:sz w:val="28"/>
          <w:szCs w:val="28"/>
          <w:lang w:val="en-US"/>
        </w:rPr>
      </w:pPr>
      <w:r w:rsidRPr="000D786E">
        <w:rPr>
          <w:b/>
          <w:sz w:val="28"/>
          <w:szCs w:val="28"/>
          <w:lang w:val="en-US"/>
        </w:rPr>
        <w:lastRenderedPageBreak/>
        <w:t>V</w:t>
      </w:r>
      <w:r>
        <w:rPr>
          <w:b/>
          <w:sz w:val="28"/>
          <w:szCs w:val="28"/>
          <w:lang w:val="en-US"/>
        </w:rPr>
        <w:t>I</w:t>
      </w:r>
      <w:r w:rsidRPr="000D786E">
        <w:rPr>
          <w:b/>
          <w:sz w:val="28"/>
          <w:szCs w:val="28"/>
          <w:lang w:val="en-US"/>
        </w:rPr>
        <w:t xml:space="preserve">. </w:t>
      </w:r>
      <w:r>
        <w:rPr>
          <w:b/>
          <w:sz w:val="28"/>
          <w:szCs w:val="28"/>
          <w:lang w:val="en-US"/>
        </w:rPr>
        <w:t>Instruments and seismometers</w:t>
      </w:r>
    </w:p>
    <w:p w:rsidR="00812459" w:rsidRDefault="00812459" w:rsidP="00812459">
      <w:pPr>
        <w:keepNext/>
        <w:jc w:val="both"/>
      </w:pPr>
      <w:r>
        <w:rPr>
          <w:noProof/>
          <w:lang w:eastAsia="it-IT"/>
        </w:rPr>
        <w:drawing>
          <wp:inline distT="0" distB="0" distL="0" distR="0">
            <wp:extent cx="6120130" cy="3355271"/>
            <wp:effectExtent l="19050" t="0" r="0" b="0"/>
            <wp:docPr id="27" name="Immagine 2" descr="C:\Documents and Settings\pc\Desktop\seminario_e_paper_homestake\schemino_termoEs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c\Desktop\seminario_e_paper_homestake\schemino_termoEsism.JPG"/>
                    <pic:cNvPicPr>
                      <a:picLocks noChangeAspect="1" noChangeArrowheads="1"/>
                    </pic:cNvPicPr>
                  </pic:nvPicPr>
                  <pic:blipFill>
                    <a:blip r:embed="rId46"/>
                    <a:stretch>
                      <a:fillRect/>
                    </a:stretch>
                  </pic:blipFill>
                  <pic:spPr bwMode="auto">
                    <a:xfrm>
                      <a:off x="0" y="0"/>
                      <a:ext cx="6120130" cy="3355271"/>
                    </a:xfrm>
                    <a:prstGeom prst="rect">
                      <a:avLst/>
                    </a:prstGeom>
                    <a:noFill/>
                    <a:ln w="9525">
                      <a:noFill/>
                      <a:miter lim="800000"/>
                      <a:headEnd/>
                      <a:tailEnd/>
                    </a:ln>
                  </pic:spPr>
                </pic:pic>
              </a:graphicData>
            </a:graphic>
          </wp:inline>
        </w:drawing>
      </w:r>
    </w:p>
    <w:p w:rsidR="00812459" w:rsidRPr="00812459" w:rsidRDefault="00812459" w:rsidP="00812459">
      <w:pPr>
        <w:pStyle w:val="Didascalia"/>
        <w:jc w:val="both"/>
        <w:rPr>
          <w:b w:val="0"/>
          <w:color w:val="1F497D" w:themeColor="text2"/>
          <w:sz w:val="28"/>
          <w:szCs w:val="28"/>
          <w:lang w:val="en-US"/>
        </w:rPr>
      </w:pPr>
      <w:r w:rsidRPr="00812459">
        <w:rPr>
          <w:color w:val="1F497D" w:themeColor="text2"/>
          <w:lang w:val="en-US"/>
        </w:rPr>
        <w:t>Figure 40: Sketch of instruments used at each underground station. Circuit design allows also a magnetometer, a microphone and an additional thermometer although these components were not used.</w:t>
      </w:r>
    </w:p>
    <w:p w:rsidR="00996186" w:rsidRPr="00375C9A" w:rsidRDefault="00996186" w:rsidP="000B4B36">
      <w:pPr>
        <w:jc w:val="both"/>
        <w:rPr>
          <w:b/>
          <w:sz w:val="24"/>
          <w:szCs w:val="24"/>
          <w:lang w:val="en-US"/>
        </w:rPr>
      </w:pPr>
      <w:r w:rsidRPr="009453DF">
        <w:rPr>
          <w:b/>
          <w:sz w:val="24"/>
          <w:szCs w:val="24"/>
          <w:lang w:val="en-US"/>
        </w:rPr>
        <w:t xml:space="preserve">VI.1. </w:t>
      </w:r>
      <w:r w:rsidR="00126257" w:rsidRPr="00375C9A">
        <w:rPr>
          <w:b/>
          <w:sz w:val="24"/>
          <w:szCs w:val="24"/>
          <w:lang w:val="en-US"/>
        </w:rPr>
        <w:t>S</w:t>
      </w:r>
      <w:r w:rsidRPr="00375C9A">
        <w:rPr>
          <w:b/>
          <w:sz w:val="24"/>
          <w:szCs w:val="24"/>
          <w:lang w:val="en-US"/>
        </w:rPr>
        <w:t>ensor boards</w:t>
      </w:r>
    </w:p>
    <w:p w:rsidR="009453DF" w:rsidRDefault="009453DF" w:rsidP="000B4B36">
      <w:pPr>
        <w:jc w:val="both"/>
        <w:rPr>
          <w:lang w:val="en-US"/>
        </w:rPr>
      </w:pPr>
      <w:r w:rsidRPr="009453DF">
        <w:rPr>
          <w:lang w:val="en-US"/>
        </w:rPr>
        <w:t>In old s</w:t>
      </w:r>
      <w:r>
        <w:rPr>
          <w:lang w:val="en-US"/>
        </w:rPr>
        <w:t>tations environmental cond</w:t>
      </w:r>
      <w:r w:rsidR="00292FDD">
        <w:rPr>
          <w:lang w:val="en-US"/>
        </w:rPr>
        <w:t>itions were monitored by sensor boards, each one consisting of</w:t>
      </w:r>
      <w:r>
        <w:rPr>
          <w:lang w:val="en-US"/>
        </w:rPr>
        <w:t xml:space="preserve"> one thermometer, one hygrometer, one magnetometer, one barometer and one microphone for acoustic noise. This year we built new sensor boards for all the stations of the array, removing from the design the </w:t>
      </w:r>
      <w:r w:rsidR="00201E78">
        <w:rPr>
          <w:lang w:val="en-US"/>
        </w:rPr>
        <w:t xml:space="preserve">magnetometer and the microphone: however the new design </w:t>
      </w:r>
      <w:r w:rsidR="00292FDD" w:rsidRPr="00292FDD">
        <w:rPr>
          <w:lang w:val="en-US"/>
        </w:rPr>
        <w:t>would allow a microphone to be insta</w:t>
      </w:r>
      <w:r w:rsidR="00292FDD">
        <w:rPr>
          <w:lang w:val="en-US"/>
        </w:rPr>
        <w:t>lled in the future if necessary</w:t>
      </w:r>
      <w:r w:rsidR="00201E78">
        <w:rPr>
          <w:lang w:val="en-US"/>
        </w:rPr>
        <w:t>.</w:t>
      </w:r>
      <w:r w:rsidR="001F5B20">
        <w:rPr>
          <w:lang w:val="en-US"/>
        </w:rPr>
        <w:t xml:space="preserve"> Sensor boards are powered by </w:t>
      </w:r>
      <w:r w:rsidR="00EB071C">
        <w:rPr>
          <w:lang w:val="en-US"/>
        </w:rPr>
        <w:t>a</w:t>
      </w:r>
      <w:r w:rsidR="001F5B20">
        <w:rPr>
          <w:lang w:val="en-US"/>
        </w:rPr>
        <w:t xml:space="preserve"> DC power supplies and connected to some channels of the same data acquisition used for  the seismometers (</w:t>
      </w:r>
      <w:r w:rsidR="001F5B20" w:rsidRPr="001F5B20">
        <w:rPr>
          <w:i/>
          <w:lang w:val="en-US"/>
        </w:rPr>
        <w:t>see section VI.4</w:t>
      </w:r>
      <w:r w:rsidR="001F5B20">
        <w:rPr>
          <w:lang w:val="en-US"/>
        </w:rPr>
        <w:t>).</w:t>
      </w:r>
    </w:p>
    <w:p w:rsidR="00D70220" w:rsidRDefault="00812459" w:rsidP="00D70220">
      <w:pPr>
        <w:keepNext/>
        <w:jc w:val="center"/>
      </w:pPr>
      <w:r w:rsidRPr="00812459">
        <w:rPr>
          <w:noProof/>
          <w:lang w:eastAsia="it-IT"/>
        </w:rPr>
        <w:drawing>
          <wp:inline distT="0" distB="0" distL="0" distR="0">
            <wp:extent cx="2987040" cy="2810250"/>
            <wp:effectExtent l="19050" t="0" r="3810" b="0"/>
            <wp:docPr id="3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5"/>
                    <pic:cNvPicPr>
                      <a:picLocks noChangeAspect="1" noChangeArrowheads="1"/>
                    </pic:cNvPicPr>
                  </pic:nvPicPr>
                  <pic:blipFill>
                    <a:blip r:embed="rId47"/>
                    <a:srcRect/>
                    <a:stretch>
                      <a:fillRect/>
                    </a:stretch>
                  </pic:blipFill>
                  <pic:spPr bwMode="auto">
                    <a:xfrm>
                      <a:off x="0" y="0"/>
                      <a:ext cx="2996218" cy="2818885"/>
                    </a:xfrm>
                    <a:prstGeom prst="rect">
                      <a:avLst/>
                    </a:prstGeom>
                    <a:noFill/>
                    <a:ln w="9525">
                      <a:noFill/>
                      <a:miter lim="800000"/>
                      <a:headEnd/>
                      <a:tailEnd/>
                    </a:ln>
                  </pic:spPr>
                </pic:pic>
              </a:graphicData>
            </a:graphic>
          </wp:inline>
        </w:drawing>
      </w:r>
      <w:r w:rsidRPr="00812459">
        <w:rPr>
          <w:noProof/>
          <w:lang w:eastAsia="it-IT"/>
        </w:rPr>
        <w:drawing>
          <wp:inline distT="0" distB="0" distL="0" distR="0">
            <wp:extent cx="2721293" cy="2839608"/>
            <wp:effectExtent l="19050" t="0" r="2857" b="0"/>
            <wp:docPr id="35" name="Immagine 2" descr="Sensor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Picture 5" descr="SensorBoard.jpg"/>
                    <pic:cNvPicPr>
                      <a:picLocks noChangeAspect="1"/>
                    </pic:cNvPicPr>
                  </pic:nvPicPr>
                  <pic:blipFill>
                    <a:blip r:embed="rId48" cstate="print"/>
                    <a:srcRect/>
                    <a:stretch>
                      <a:fillRect/>
                    </a:stretch>
                  </pic:blipFill>
                  <pic:spPr bwMode="auto">
                    <a:xfrm>
                      <a:off x="0" y="0"/>
                      <a:ext cx="2726869" cy="2845426"/>
                    </a:xfrm>
                    <a:prstGeom prst="rect">
                      <a:avLst/>
                    </a:prstGeom>
                    <a:noFill/>
                    <a:ln w="9525">
                      <a:noFill/>
                      <a:miter lim="800000"/>
                      <a:headEnd/>
                      <a:tailEnd/>
                    </a:ln>
                  </pic:spPr>
                </pic:pic>
              </a:graphicData>
            </a:graphic>
          </wp:inline>
        </w:drawing>
      </w:r>
    </w:p>
    <w:p w:rsidR="00812459" w:rsidRPr="00D70220" w:rsidRDefault="00D70220" w:rsidP="00D70220">
      <w:pPr>
        <w:pStyle w:val="Didascalia"/>
        <w:rPr>
          <w:color w:val="1F497D" w:themeColor="text2"/>
          <w:lang w:val="en-US"/>
        </w:rPr>
      </w:pPr>
      <w:r w:rsidRPr="00D70220">
        <w:rPr>
          <w:color w:val="1F497D" w:themeColor="text2"/>
          <w:lang w:val="en-US"/>
        </w:rPr>
        <w:t xml:space="preserve">Figure 41,42: the old sensor board design (left) and the new design (right) we used </w:t>
      </w:r>
      <w:r w:rsidR="00E057CF">
        <w:rPr>
          <w:color w:val="1F497D" w:themeColor="text2"/>
          <w:lang w:val="en-US"/>
        </w:rPr>
        <w:t>assembling</w:t>
      </w:r>
      <w:r w:rsidRPr="00D70220">
        <w:rPr>
          <w:color w:val="1F497D" w:themeColor="text2"/>
          <w:lang w:val="en-US"/>
        </w:rPr>
        <w:t xml:space="preserve"> new sensor boards</w:t>
      </w:r>
    </w:p>
    <w:p w:rsidR="00D70220" w:rsidRPr="00D70220" w:rsidRDefault="00D70220" w:rsidP="00126257">
      <w:pPr>
        <w:jc w:val="both"/>
        <w:rPr>
          <w:b/>
          <w:sz w:val="24"/>
          <w:szCs w:val="24"/>
          <w:lang w:val="en-US"/>
        </w:rPr>
      </w:pPr>
      <w:r w:rsidRPr="00D70220">
        <w:rPr>
          <w:lang w:val="en-US"/>
        </w:rPr>
        <w:lastRenderedPageBreak/>
        <w:t>Humidity i</w:t>
      </w:r>
      <w:r>
        <w:rPr>
          <w:lang w:val="en-US"/>
        </w:rPr>
        <w:t>n</w:t>
      </w:r>
      <w:r w:rsidRPr="00D70220">
        <w:rPr>
          <w:lang w:val="en-US"/>
        </w:rPr>
        <w:t xml:space="preserve"> the</w:t>
      </w:r>
      <w:r>
        <w:rPr>
          <w:lang w:val="en-US"/>
        </w:rPr>
        <w:t xml:space="preserve"> underground levels is usually high (up to 100%), but with a good insulation it can be controlled in a range of 80-90%.</w:t>
      </w:r>
      <w:r w:rsidR="00464EE2">
        <w:rPr>
          <w:lang w:val="en-US"/>
        </w:rPr>
        <w:t xml:space="preserve"> At low frequencies strong magnetic fields would affect seismometers (especially STS-2 and Trillium 240) but the dominant source of noise for the seismometers comes from</w:t>
      </w:r>
      <w:r>
        <w:rPr>
          <w:lang w:val="en-US"/>
        </w:rPr>
        <w:t xml:space="preserve"> </w:t>
      </w:r>
      <w:r w:rsidR="00464EE2">
        <w:rPr>
          <w:lang w:val="en-US"/>
        </w:rPr>
        <w:t xml:space="preserve">temperature fluctuations: indeed the pass-band sensitivity of any seismometer which is based on NdFeB magnet decreases by 0.12% depending on temperature. </w:t>
      </w:r>
      <w:r>
        <w:rPr>
          <w:lang w:val="en-US"/>
        </w:rPr>
        <w:t xml:space="preserve">Sound and pressure fluctuation could be correlated (directly or indirectly) with seismic data: </w:t>
      </w:r>
      <w:r w:rsidR="00852570">
        <w:rPr>
          <w:lang w:val="en-US"/>
        </w:rPr>
        <w:t>water pumping and ventilation are significant sources of noise (</w:t>
      </w:r>
      <w:r w:rsidR="00E057CF">
        <w:rPr>
          <w:lang w:val="en-US"/>
        </w:rPr>
        <w:t>with</w:t>
      </w:r>
      <w:r w:rsidR="00500C18">
        <w:rPr>
          <w:lang w:val="en-US"/>
        </w:rPr>
        <w:t xml:space="preserve"> resonance peaks</w:t>
      </w:r>
      <w:r w:rsidR="00852570">
        <w:rPr>
          <w:lang w:val="en-US"/>
        </w:rPr>
        <w:t xml:space="preserve"> in frequencies spectra) that should be better studied and kept under control with the sensor boards.</w:t>
      </w:r>
    </w:p>
    <w:p w:rsidR="00375C9A" w:rsidRPr="00CB5624" w:rsidRDefault="00126257" w:rsidP="00126257">
      <w:pPr>
        <w:jc w:val="both"/>
        <w:rPr>
          <w:b/>
          <w:sz w:val="24"/>
          <w:szCs w:val="24"/>
          <w:lang w:val="en-US"/>
        </w:rPr>
      </w:pPr>
      <w:r w:rsidRPr="00CB5624">
        <w:rPr>
          <w:b/>
          <w:sz w:val="24"/>
          <w:szCs w:val="24"/>
          <w:lang w:val="en-US"/>
        </w:rPr>
        <w:t>VI.2. Seismometers</w:t>
      </w:r>
    </w:p>
    <w:p w:rsidR="00375C9A" w:rsidRDefault="00375C9A" w:rsidP="00126257">
      <w:pPr>
        <w:jc w:val="both"/>
        <w:rPr>
          <w:bCs/>
          <w:lang w:val="en-US"/>
        </w:rPr>
      </w:pPr>
      <w:r w:rsidRPr="00375C9A">
        <w:rPr>
          <w:lang w:val="en-US"/>
        </w:rPr>
        <w:t>In our stations w</w:t>
      </w:r>
      <w:r>
        <w:rPr>
          <w:lang w:val="en-US"/>
        </w:rPr>
        <w:t xml:space="preserve">e used three different seismometers: 2 STS-2 (at 1250 m), 5 Trillium 240 (one at 240 m, three at 610 m and one at 1250 m) and one </w:t>
      </w:r>
      <w:r w:rsidRPr="000D786E">
        <w:rPr>
          <w:bCs/>
          <w:lang w:val="en-US"/>
        </w:rPr>
        <w:t>Güralp</w:t>
      </w:r>
      <w:r>
        <w:rPr>
          <w:bCs/>
          <w:lang w:val="en-US"/>
        </w:rPr>
        <w:t xml:space="preserve"> (at 90 m)</w:t>
      </w:r>
    </w:p>
    <w:p w:rsidR="00375C9A" w:rsidRDefault="00375C9A" w:rsidP="00126257">
      <w:pPr>
        <w:jc w:val="both"/>
        <w:rPr>
          <w:bCs/>
          <w:lang w:val="en-US"/>
        </w:rPr>
      </w:pPr>
      <w:r>
        <w:rPr>
          <w:bCs/>
          <w:lang w:val="en-US"/>
        </w:rPr>
        <w:t>Both STS-2 and the Trillium 240</w:t>
      </w:r>
      <w:r w:rsidR="00F4301B">
        <w:rPr>
          <w:bCs/>
          <w:lang w:val="en-US"/>
        </w:rPr>
        <w:t xml:space="preserve"> operate in a low frequency range from about 10 mHz to 10 Hz and are sensitive to magnetic fields (mostly at lowest frequencies) and to temperature; mass centering is needed</w:t>
      </w:r>
      <w:r w:rsidR="00E340BE">
        <w:rPr>
          <w:bCs/>
          <w:lang w:val="en-US"/>
        </w:rPr>
        <w:t xml:space="preserve"> during the installation of these instruments</w:t>
      </w:r>
      <w:r w:rsidR="00F4301B">
        <w:rPr>
          <w:bCs/>
          <w:lang w:val="en-US"/>
        </w:rPr>
        <w:t xml:space="preserve"> and </w:t>
      </w:r>
      <w:r w:rsidR="00E340BE">
        <w:rPr>
          <w:bCs/>
          <w:lang w:val="en-US"/>
        </w:rPr>
        <w:t xml:space="preserve">again after at least 12 hours, when the seismometer </w:t>
      </w:r>
      <w:r w:rsidR="00E340BE" w:rsidRPr="00E340BE">
        <w:rPr>
          <w:bCs/>
          <w:lang w:val="en-US"/>
        </w:rPr>
        <w:t>reaches a stable thermal equilibrium</w:t>
      </w:r>
      <w:r w:rsidR="00E340BE">
        <w:rPr>
          <w:bCs/>
          <w:lang w:val="en-US"/>
        </w:rPr>
        <w:t>. An additional rubber</w:t>
      </w:r>
      <w:r w:rsidR="001F623F">
        <w:rPr>
          <w:bCs/>
          <w:lang w:val="en-US"/>
        </w:rPr>
        <w:t xml:space="preserve"> foam</w:t>
      </w:r>
      <w:r w:rsidR="00E340BE">
        <w:rPr>
          <w:bCs/>
          <w:lang w:val="en-US"/>
        </w:rPr>
        <w:t xml:space="preserve"> cover protect these seismometers once installed</w:t>
      </w:r>
      <w:r w:rsidR="00BB0300">
        <w:rPr>
          <w:bCs/>
          <w:lang w:val="en-US"/>
        </w:rPr>
        <w:t xml:space="preserve"> (</w:t>
      </w:r>
      <w:r w:rsidR="00BB0300" w:rsidRPr="00BB0300">
        <w:rPr>
          <w:bCs/>
          <w:i/>
          <w:lang w:val="en-US"/>
        </w:rPr>
        <w:t>figure 45</w:t>
      </w:r>
      <w:r w:rsidR="00BB0300">
        <w:rPr>
          <w:bCs/>
          <w:lang w:val="en-US"/>
        </w:rPr>
        <w:t>)</w:t>
      </w:r>
      <w:r w:rsidR="00E340BE">
        <w:rPr>
          <w:bCs/>
          <w:lang w:val="en-US"/>
        </w:rPr>
        <w:t xml:space="preserve">. STS-2 and Trillium 240 </w:t>
      </w:r>
      <w:r w:rsidR="00F4301B">
        <w:rPr>
          <w:bCs/>
          <w:lang w:val="en-US"/>
        </w:rPr>
        <w:t>use</w:t>
      </w:r>
      <w:r>
        <w:rPr>
          <w:bCs/>
          <w:lang w:val="en-US"/>
        </w:rPr>
        <w:t xml:space="preserve"> </w:t>
      </w:r>
      <w:r w:rsidR="00F4301B" w:rsidRPr="00F4301B">
        <w:rPr>
          <w:bCs/>
          <w:lang w:val="en-US"/>
        </w:rPr>
        <w:t>a coordinate system</w:t>
      </w:r>
      <w:r w:rsidR="00F4301B">
        <w:rPr>
          <w:bCs/>
          <w:lang w:val="en-US"/>
        </w:rPr>
        <w:t xml:space="preserve"> </w:t>
      </w:r>
      <w:r w:rsidR="00F4301B" w:rsidRPr="00F4301B">
        <w:rPr>
          <w:bCs/>
          <w:i/>
          <w:lang w:val="en-US"/>
        </w:rPr>
        <w:t>u,v,w</w:t>
      </w:r>
      <w:r w:rsidR="00F4301B">
        <w:rPr>
          <w:bCs/>
          <w:lang w:val="en-US"/>
        </w:rPr>
        <w:t xml:space="preserve"> and a rotation is needed in order to obtain the ground velocities in the </w:t>
      </w:r>
      <w:r w:rsidR="00F4301B" w:rsidRPr="00F4301B">
        <w:rPr>
          <w:bCs/>
          <w:i/>
          <w:lang w:val="en-US"/>
        </w:rPr>
        <w:t>x,y,z</w:t>
      </w:r>
      <w:r w:rsidR="00F4301B">
        <w:rPr>
          <w:bCs/>
          <w:lang w:val="en-US"/>
        </w:rPr>
        <w:t xml:space="preserve"> coordinates:</w:t>
      </w:r>
    </w:p>
    <w:p w:rsidR="00F4301B" w:rsidRDefault="00F4301B" w:rsidP="00E340BE">
      <w:pPr>
        <w:jc w:val="center"/>
        <w:rPr>
          <w:bCs/>
          <w:lang w:val="en-US"/>
        </w:rPr>
      </w:pPr>
      <w:r w:rsidRPr="00F4301B">
        <w:rPr>
          <w:bCs/>
          <w:noProof/>
          <w:lang w:eastAsia="it-IT"/>
        </w:rPr>
        <w:drawing>
          <wp:inline distT="0" distB="0" distL="0" distR="0">
            <wp:extent cx="1664970" cy="1412251"/>
            <wp:effectExtent l="19050" t="0" r="0" b="0"/>
            <wp:docPr id="3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6"/>
                    <pic:cNvPicPr>
                      <a:picLocks noChangeAspect="1" noChangeArrowheads="1"/>
                    </pic:cNvPicPr>
                  </pic:nvPicPr>
                  <pic:blipFill>
                    <a:blip r:embed="rId49"/>
                    <a:srcRect/>
                    <a:stretch>
                      <a:fillRect/>
                    </a:stretch>
                  </pic:blipFill>
                  <pic:spPr bwMode="auto">
                    <a:xfrm>
                      <a:off x="0" y="0"/>
                      <a:ext cx="1666139" cy="1413243"/>
                    </a:xfrm>
                    <a:prstGeom prst="rect">
                      <a:avLst/>
                    </a:prstGeom>
                    <a:noFill/>
                    <a:ln w="9525">
                      <a:noFill/>
                      <a:miter lim="800000"/>
                      <a:headEnd/>
                      <a:tailEnd/>
                    </a:ln>
                  </pic:spPr>
                </pic:pic>
              </a:graphicData>
            </a:graphic>
          </wp:inline>
        </w:drawing>
      </w:r>
    </w:p>
    <w:p w:rsidR="00E340BE" w:rsidRDefault="00E340BE" w:rsidP="00E340BE">
      <w:pPr>
        <w:keepNext/>
        <w:jc w:val="center"/>
      </w:pPr>
      <w:r>
        <w:rPr>
          <w:noProof/>
          <w:lang w:eastAsia="it-IT"/>
        </w:rPr>
        <w:drawing>
          <wp:inline distT="0" distB="0" distL="0" distR="0">
            <wp:extent cx="2724150" cy="2392680"/>
            <wp:effectExtent l="19050" t="0" r="0" b="0"/>
            <wp:docPr id="2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5"/>
                    <pic:cNvPicPr>
                      <a:picLocks noChangeAspect="1" noChangeArrowheads="1"/>
                    </pic:cNvPicPr>
                  </pic:nvPicPr>
                  <pic:blipFill>
                    <a:blip r:embed="rId50"/>
                    <a:srcRect/>
                    <a:stretch>
                      <a:fillRect/>
                    </a:stretch>
                  </pic:blipFill>
                  <pic:spPr bwMode="auto">
                    <a:xfrm>
                      <a:off x="0" y="0"/>
                      <a:ext cx="2724150" cy="2392680"/>
                    </a:xfrm>
                    <a:prstGeom prst="rect">
                      <a:avLst/>
                    </a:prstGeom>
                    <a:noFill/>
                    <a:ln w="9525">
                      <a:noFill/>
                      <a:miter lim="800000"/>
                      <a:headEnd/>
                      <a:tailEnd/>
                    </a:ln>
                  </pic:spPr>
                </pic:pic>
              </a:graphicData>
            </a:graphic>
          </wp:inline>
        </w:drawing>
      </w:r>
      <w:r>
        <w:rPr>
          <w:bCs/>
          <w:noProof/>
          <w:lang w:eastAsia="it-IT"/>
        </w:rPr>
        <w:drawing>
          <wp:inline distT="0" distB="0" distL="0" distR="0">
            <wp:extent cx="3311487" cy="2299491"/>
            <wp:effectExtent l="19050" t="0" r="3213" b="0"/>
            <wp:docPr id="38"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srcRect/>
                    <a:stretch>
                      <a:fillRect/>
                    </a:stretch>
                  </pic:blipFill>
                  <pic:spPr bwMode="auto">
                    <a:xfrm>
                      <a:off x="0" y="0"/>
                      <a:ext cx="3311136" cy="2299247"/>
                    </a:xfrm>
                    <a:prstGeom prst="rect">
                      <a:avLst/>
                    </a:prstGeom>
                    <a:noFill/>
                  </pic:spPr>
                </pic:pic>
              </a:graphicData>
            </a:graphic>
          </wp:inline>
        </w:drawing>
      </w:r>
    </w:p>
    <w:p w:rsidR="00375C9A" w:rsidRPr="00E340BE" w:rsidRDefault="00E340BE" w:rsidP="00126257">
      <w:pPr>
        <w:jc w:val="both"/>
        <w:rPr>
          <w:bCs/>
          <w:color w:val="1F497D" w:themeColor="text2"/>
          <w:lang w:val="en-US"/>
        </w:rPr>
      </w:pPr>
      <w:r w:rsidRPr="00E340BE">
        <w:rPr>
          <w:b/>
          <w:bCs/>
          <w:color w:val="1F497D" w:themeColor="text2"/>
          <w:sz w:val="18"/>
          <w:szCs w:val="18"/>
          <w:lang w:val="en-US"/>
        </w:rPr>
        <w:t>Figure 43,44: schemes of STS-2 (left) and Trillium 240</w:t>
      </w:r>
      <w:r>
        <w:rPr>
          <w:b/>
          <w:bCs/>
          <w:color w:val="1F497D" w:themeColor="text2"/>
          <w:sz w:val="18"/>
          <w:szCs w:val="18"/>
          <w:lang w:val="en-US"/>
        </w:rPr>
        <w:t xml:space="preserve"> (right)</w:t>
      </w:r>
      <w:r w:rsidRPr="00E340BE">
        <w:rPr>
          <w:b/>
          <w:bCs/>
          <w:color w:val="1F497D" w:themeColor="text2"/>
          <w:sz w:val="18"/>
          <w:szCs w:val="18"/>
          <w:lang w:val="en-US"/>
        </w:rPr>
        <w:t xml:space="preserve"> seismometers</w:t>
      </w:r>
    </w:p>
    <w:p w:rsidR="00375C9A" w:rsidRPr="00E340BE" w:rsidRDefault="00E340BE" w:rsidP="00126257">
      <w:pPr>
        <w:jc w:val="both"/>
        <w:rPr>
          <w:bCs/>
          <w:lang w:val="en-US"/>
        </w:rPr>
      </w:pPr>
      <w:r w:rsidRPr="00E340BE">
        <w:rPr>
          <w:bCs/>
          <w:lang w:val="en-US"/>
        </w:rPr>
        <w:t>The complex response function a</w:t>
      </w:r>
      <w:r>
        <w:rPr>
          <w:bCs/>
          <w:lang w:val="en-US"/>
        </w:rPr>
        <w:t xml:space="preserve">nd models used </w:t>
      </w:r>
      <w:r w:rsidR="00F54C89">
        <w:rPr>
          <w:bCs/>
          <w:lang w:val="en-US"/>
        </w:rPr>
        <w:t xml:space="preserve">analyzing the data from STS-2 and Trillium, </w:t>
      </w:r>
      <w:r w:rsidR="00374FFA">
        <w:rPr>
          <w:bCs/>
          <w:lang w:val="en-US"/>
        </w:rPr>
        <w:t xml:space="preserve">instruments self-noise and susceptibility to magnetic fields </w:t>
      </w:r>
      <w:r w:rsidR="00F54C89">
        <w:rPr>
          <w:bCs/>
          <w:lang w:val="en-US"/>
        </w:rPr>
        <w:t>as well as a comparison between</w:t>
      </w:r>
      <w:r w:rsidR="00E057CF">
        <w:rPr>
          <w:bCs/>
          <w:lang w:val="en-US"/>
        </w:rPr>
        <w:t xml:space="preserve"> absolute</w:t>
      </w:r>
      <w:r w:rsidR="00F54C89">
        <w:rPr>
          <w:bCs/>
          <w:lang w:val="en-US"/>
        </w:rPr>
        <w:t xml:space="preserve"> value</w:t>
      </w:r>
      <w:r w:rsidR="00E057CF">
        <w:rPr>
          <w:bCs/>
          <w:lang w:val="en-US"/>
        </w:rPr>
        <w:t>s and</w:t>
      </w:r>
      <w:r w:rsidR="00F54C89">
        <w:rPr>
          <w:bCs/>
          <w:lang w:val="en-US"/>
        </w:rPr>
        <w:t xml:space="preserve"> phase of </w:t>
      </w:r>
      <w:r w:rsidR="00E057CF">
        <w:rPr>
          <w:bCs/>
          <w:lang w:val="en-US"/>
        </w:rPr>
        <w:t xml:space="preserve">the </w:t>
      </w:r>
      <w:r w:rsidR="00F54C89">
        <w:rPr>
          <w:bCs/>
          <w:lang w:val="en-US"/>
        </w:rPr>
        <w:t>relative transfer function of these seismometers are</w:t>
      </w:r>
      <w:r w:rsidR="00F54C89" w:rsidRPr="00F54C89">
        <w:rPr>
          <w:bCs/>
          <w:lang w:val="en-US"/>
        </w:rPr>
        <w:t xml:space="preserve"> thoroughly discussed in </w:t>
      </w:r>
      <w:r w:rsidR="00F54C89" w:rsidRPr="00F54C89">
        <w:rPr>
          <w:bCs/>
          <w:i/>
          <w:lang w:val="en-US"/>
        </w:rPr>
        <w:t>reference 2</w:t>
      </w:r>
      <w:r w:rsidR="00374FFA">
        <w:rPr>
          <w:bCs/>
          <w:lang w:val="en-US"/>
        </w:rPr>
        <w:t xml:space="preserve">. All Trillium </w:t>
      </w:r>
      <w:r w:rsidR="00374FFA">
        <w:rPr>
          <w:bCs/>
          <w:lang w:val="en-US"/>
        </w:rPr>
        <w:lastRenderedPageBreak/>
        <w:t>are operative and connected in our stations, the two STS-2 located at 4100 ft still need to be connected to the network.</w:t>
      </w:r>
    </w:p>
    <w:p w:rsidR="00BB0300" w:rsidRDefault="00BB0300" w:rsidP="00BB0300">
      <w:pPr>
        <w:keepNext/>
        <w:jc w:val="center"/>
      </w:pPr>
      <w:r>
        <w:rPr>
          <w:bCs/>
          <w:noProof/>
          <w:lang w:eastAsia="it-IT"/>
        </w:rPr>
        <w:drawing>
          <wp:inline distT="0" distB="0" distL="0" distR="0">
            <wp:extent cx="2175510" cy="2535594"/>
            <wp:effectExtent l="19050" t="0" r="0" b="0"/>
            <wp:docPr id="39" name="Immagine 2" descr="C:\Documents and Settings\pc\Desktop\seminario_e_paper_homestake\presentation stuff\nanometrics_trillium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c\Desktop\seminario_e_paper_homestake\presentation stuff\nanometrics_trillium240.jpg"/>
                    <pic:cNvPicPr>
                      <a:picLocks noChangeAspect="1" noChangeArrowheads="1"/>
                    </pic:cNvPicPr>
                  </pic:nvPicPr>
                  <pic:blipFill>
                    <a:blip r:embed="rId52"/>
                    <a:srcRect/>
                    <a:stretch>
                      <a:fillRect/>
                    </a:stretch>
                  </pic:blipFill>
                  <pic:spPr bwMode="auto">
                    <a:xfrm>
                      <a:off x="0" y="0"/>
                      <a:ext cx="2175814" cy="2535948"/>
                    </a:xfrm>
                    <a:prstGeom prst="rect">
                      <a:avLst/>
                    </a:prstGeom>
                    <a:noFill/>
                    <a:ln w="9525">
                      <a:noFill/>
                      <a:miter lim="800000"/>
                      <a:headEnd/>
                      <a:tailEnd/>
                    </a:ln>
                  </pic:spPr>
                </pic:pic>
              </a:graphicData>
            </a:graphic>
          </wp:inline>
        </w:drawing>
      </w:r>
      <w:r>
        <w:rPr>
          <w:bCs/>
          <w:noProof/>
          <w:lang w:eastAsia="it-IT"/>
        </w:rPr>
        <w:drawing>
          <wp:inline distT="0" distB="0" distL="0" distR="0">
            <wp:extent cx="2747010" cy="2532206"/>
            <wp:effectExtent l="19050" t="0" r="0" b="0"/>
            <wp:docPr id="40" name="Immagine 3" descr="C:\Documents and Settings\pc\Desktop\IMG_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c\Desktop\IMG_2850.JPG"/>
                    <pic:cNvPicPr>
                      <a:picLocks noChangeAspect="1" noChangeArrowheads="1"/>
                    </pic:cNvPicPr>
                  </pic:nvPicPr>
                  <pic:blipFill>
                    <a:blip r:embed="rId53" cstate="print"/>
                    <a:srcRect/>
                    <a:stretch>
                      <a:fillRect/>
                    </a:stretch>
                  </pic:blipFill>
                  <pic:spPr bwMode="auto">
                    <a:xfrm>
                      <a:off x="0" y="0"/>
                      <a:ext cx="2747204" cy="2532385"/>
                    </a:xfrm>
                    <a:prstGeom prst="rect">
                      <a:avLst/>
                    </a:prstGeom>
                    <a:noFill/>
                    <a:ln w="9525">
                      <a:noFill/>
                      <a:miter lim="800000"/>
                      <a:headEnd/>
                      <a:tailEnd/>
                    </a:ln>
                  </pic:spPr>
                </pic:pic>
              </a:graphicData>
            </a:graphic>
          </wp:inline>
        </w:drawing>
      </w:r>
    </w:p>
    <w:p w:rsidR="00BB0300" w:rsidRPr="00927B77" w:rsidRDefault="00BB0300" w:rsidP="00BB0300">
      <w:pPr>
        <w:pStyle w:val="Didascalia"/>
        <w:rPr>
          <w:bCs w:val="0"/>
          <w:color w:val="1F497D" w:themeColor="text2"/>
          <w:lang w:val="en-US"/>
        </w:rPr>
      </w:pPr>
      <w:r w:rsidRPr="00927B77">
        <w:rPr>
          <w:color w:val="1F497D" w:themeColor="text2"/>
          <w:lang w:val="en-US"/>
        </w:rPr>
        <w:t>Figure 44,45: Trillium 240 (left) and the same seismometer installed with its protective and insulating rubber cover (right)</w:t>
      </w:r>
    </w:p>
    <w:p w:rsidR="00375C9A" w:rsidRDefault="009B29F4" w:rsidP="00126257">
      <w:pPr>
        <w:jc w:val="both"/>
        <w:rPr>
          <w:bCs/>
          <w:lang w:val="en-US"/>
        </w:rPr>
      </w:pPr>
      <w:r w:rsidRPr="009B29F4">
        <w:rPr>
          <w:noProof/>
        </w:rPr>
        <w:pict>
          <v:shape id="_x0000_s1039" type="#_x0000_t202" style="position:absolute;left:0;text-align:left;margin-left:1.2pt;margin-top:225.2pt;width:180.9pt;height:.05pt;z-index:251681792" stroked="f">
            <v:textbox style="mso-next-textbox:#_x0000_s1039;mso-fit-shape-to-text:t" inset="0,0,0,0">
              <w:txbxContent>
                <w:p w:rsidR="003A4FB4" w:rsidRPr="00927B77" w:rsidRDefault="003A4FB4" w:rsidP="00927B77">
                  <w:pPr>
                    <w:pStyle w:val="Didascalia"/>
                    <w:rPr>
                      <w:noProof/>
                      <w:color w:val="1F497D" w:themeColor="text2"/>
                    </w:rPr>
                  </w:pPr>
                  <w:r w:rsidRPr="00927B77">
                    <w:rPr>
                      <w:color w:val="1F497D" w:themeColor="text2"/>
                    </w:rPr>
                    <w:t xml:space="preserve">Figure 46: </w:t>
                  </w:r>
                  <w:r w:rsidRPr="00927B77">
                    <w:rPr>
                      <w:color w:val="1F497D" w:themeColor="text2"/>
                      <w:lang w:val="en-US"/>
                    </w:rPr>
                    <w:t>Güralp CMG-40T seismometer</w:t>
                  </w:r>
                </w:p>
              </w:txbxContent>
            </v:textbox>
            <w10:wrap type="square"/>
          </v:shape>
        </w:pict>
      </w:r>
      <w:r w:rsidR="00D0639C">
        <w:rPr>
          <w:bCs/>
          <w:noProof/>
          <w:lang w:eastAsia="it-IT"/>
        </w:rPr>
        <w:drawing>
          <wp:anchor distT="0" distB="0" distL="114300" distR="114300" simplePos="0" relativeHeight="251679744" behindDoc="0" locked="0" layoutInCell="1" allowOverlap="1">
            <wp:simplePos x="0" y="0"/>
            <wp:positionH relativeFrom="column">
              <wp:posOffset>15240</wp:posOffset>
            </wp:positionH>
            <wp:positionV relativeFrom="paragraph">
              <wp:posOffset>44450</wp:posOffset>
            </wp:positionV>
            <wp:extent cx="2297430" cy="2758440"/>
            <wp:effectExtent l="19050" t="0" r="7620" b="0"/>
            <wp:wrapSquare wrapText="bothSides"/>
            <wp:docPr id="41" name="Immagine 4" descr="Copia di IMG_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5" descr="Copia di IMG_2849.JPG"/>
                    <pic:cNvPicPr>
                      <a:picLocks noChangeAspect="1"/>
                    </pic:cNvPicPr>
                  </pic:nvPicPr>
                  <pic:blipFill>
                    <a:blip r:embed="rId54" cstate="print"/>
                    <a:srcRect/>
                    <a:stretch>
                      <a:fillRect/>
                    </a:stretch>
                  </pic:blipFill>
                  <pic:spPr bwMode="auto">
                    <a:xfrm>
                      <a:off x="0" y="0"/>
                      <a:ext cx="2297430" cy="2758440"/>
                    </a:xfrm>
                    <a:prstGeom prst="rect">
                      <a:avLst/>
                    </a:prstGeom>
                    <a:noFill/>
                    <a:ln w="9525">
                      <a:noFill/>
                      <a:miter lim="800000"/>
                      <a:headEnd/>
                      <a:tailEnd/>
                    </a:ln>
                  </pic:spPr>
                </pic:pic>
              </a:graphicData>
            </a:graphic>
          </wp:anchor>
        </w:drawing>
      </w:r>
      <w:r w:rsidR="00AD6224">
        <w:rPr>
          <w:bCs/>
          <w:lang w:val="en-US"/>
        </w:rPr>
        <w:t xml:space="preserve">The </w:t>
      </w:r>
      <w:r w:rsidR="00AD6224" w:rsidRPr="000D786E">
        <w:rPr>
          <w:bCs/>
          <w:lang w:val="en-US"/>
        </w:rPr>
        <w:t>Güralp</w:t>
      </w:r>
      <w:r w:rsidR="00927B77">
        <w:rPr>
          <w:bCs/>
          <w:lang w:val="en-US"/>
        </w:rPr>
        <w:t xml:space="preserve"> CMG-40T</w:t>
      </w:r>
      <w:r w:rsidR="00AD6224">
        <w:rPr>
          <w:bCs/>
          <w:lang w:val="en-US"/>
        </w:rPr>
        <w:t xml:space="preserve"> seismometer is</w:t>
      </w:r>
      <w:r w:rsidR="00E057CF">
        <w:rPr>
          <w:bCs/>
          <w:lang w:val="en-US"/>
        </w:rPr>
        <w:t xml:space="preserve"> the</w:t>
      </w:r>
      <w:r w:rsidR="00AD6224">
        <w:rPr>
          <w:bCs/>
          <w:lang w:val="en-US"/>
        </w:rPr>
        <w:t xml:space="preserve"> less sensitive at low frequencies and uses decoupled sensors but is cheaper than the expensive STS-2 and Trillium</w:t>
      </w:r>
      <w:r w:rsidR="00D0639C">
        <w:rPr>
          <w:bCs/>
          <w:lang w:val="en-US"/>
        </w:rPr>
        <w:t xml:space="preserve"> 2</w:t>
      </w:r>
      <w:r w:rsidR="00E057CF">
        <w:rPr>
          <w:bCs/>
          <w:lang w:val="en-US"/>
        </w:rPr>
        <w:t xml:space="preserve">40. For this reason </w:t>
      </w:r>
      <w:r w:rsidR="00D0639C">
        <w:rPr>
          <w:bCs/>
          <w:lang w:val="en-US"/>
        </w:rPr>
        <w:t xml:space="preserve"> the </w:t>
      </w:r>
      <w:r w:rsidR="00D0639C" w:rsidRPr="00D0639C">
        <w:rPr>
          <w:bCs/>
          <w:lang w:val="en-US"/>
        </w:rPr>
        <w:t>Güralp</w:t>
      </w:r>
      <w:r w:rsidR="00E057CF">
        <w:rPr>
          <w:bCs/>
          <w:lang w:val="en-US"/>
        </w:rPr>
        <w:t xml:space="preserve"> is installed</w:t>
      </w:r>
      <w:r w:rsidR="00D0639C">
        <w:rPr>
          <w:bCs/>
          <w:lang w:val="en-US"/>
        </w:rPr>
        <w:t xml:space="preserve"> at the higher level of the array, in the old 90 m underground level station. </w:t>
      </w:r>
      <w:r w:rsidR="00927B77">
        <w:rPr>
          <w:bCs/>
          <w:lang w:val="en-US"/>
        </w:rPr>
        <w:t>A</w:t>
      </w:r>
      <w:r w:rsidR="00D0639C">
        <w:rPr>
          <w:bCs/>
          <w:lang w:val="en-US"/>
        </w:rPr>
        <w:t xml:space="preserve">s it was the last instrument to be installed this summer 2009 we had not time to complete the instrument three axis calibration due to exit cage time in our last day of work (see </w:t>
      </w:r>
      <w:r w:rsidR="00D0639C" w:rsidRPr="00D0639C">
        <w:rPr>
          <w:bCs/>
          <w:i/>
          <w:lang w:val="en-US"/>
        </w:rPr>
        <w:t>section IV</w:t>
      </w:r>
      <w:r w:rsidR="00D0639C">
        <w:rPr>
          <w:bCs/>
          <w:lang w:val="en-US"/>
        </w:rPr>
        <w:t>).</w:t>
      </w:r>
    </w:p>
    <w:p w:rsidR="00D0639C" w:rsidRDefault="00D0639C" w:rsidP="00126257">
      <w:pPr>
        <w:jc w:val="both"/>
        <w:rPr>
          <w:bCs/>
          <w:lang w:val="en-US"/>
        </w:rPr>
      </w:pPr>
    </w:p>
    <w:p w:rsidR="00D0639C" w:rsidRPr="00E340BE" w:rsidRDefault="00D0639C" w:rsidP="00126257">
      <w:pPr>
        <w:jc w:val="both"/>
        <w:rPr>
          <w:bCs/>
          <w:lang w:val="en-US"/>
        </w:rPr>
      </w:pPr>
    </w:p>
    <w:p w:rsidR="00375C9A" w:rsidRPr="00E340BE" w:rsidRDefault="00375C9A" w:rsidP="00126257">
      <w:pPr>
        <w:jc w:val="both"/>
        <w:rPr>
          <w:bCs/>
          <w:lang w:val="en-US"/>
        </w:rPr>
      </w:pPr>
    </w:p>
    <w:p w:rsidR="00927B77" w:rsidRDefault="00927B77" w:rsidP="00126257">
      <w:pPr>
        <w:jc w:val="both"/>
        <w:rPr>
          <w:bCs/>
          <w:lang w:val="en-US"/>
        </w:rPr>
      </w:pPr>
    </w:p>
    <w:p w:rsidR="00927B77" w:rsidRDefault="00927B77" w:rsidP="00126257">
      <w:pPr>
        <w:jc w:val="both"/>
        <w:rPr>
          <w:bCs/>
          <w:lang w:val="en-US"/>
        </w:rPr>
      </w:pPr>
    </w:p>
    <w:p w:rsidR="00126257" w:rsidRPr="002B01B5" w:rsidRDefault="00126257" w:rsidP="00126257">
      <w:pPr>
        <w:jc w:val="both"/>
        <w:rPr>
          <w:b/>
          <w:sz w:val="24"/>
          <w:szCs w:val="24"/>
          <w:lang w:val="en-US"/>
        </w:rPr>
      </w:pPr>
      <w:r w:rsidRPr="002B01B5">
        <w:rPr>
          <w:b/>
          <w:sz w:val="24"/>
          <w:szCs w:val="24"/>
          <w:lang w:val="en-US"/>
        </w:rPr>
        <w:t>VI.3. Horizontal seismometer prototypes</w:t>
      </w:r>
    </w:p>
    <w:p w:rsidR="00927B77" w:rsidRPr="007976E8" w:rsidRDefault="00EB71AC" w:rsidP="007976E8">
      <w:pPr>
        <w:jc w:val="both"/>
        <w:rPr>
          <w:bCs/>
          <w:lang w:val="en-US"/>
        </w:rPr>
      </w:pPr>
      <w:r w:rsidRPr="00EB71AC">
        <w:rPr>
          <w:bCs/>
          <w:lang w:val="en-US"/>
        </w:rPr>
        <w:t>Since December 2009 in addition to Trill</w:t>
      </w:r>
      <w:r>
        <w:rPr>
          <w:bCs/>
          <w:lang w:val="en-US"/>
        </w:rPr>
        <w:t>ium 240 seismometer the old 1250 m</w:t>
      </w:r>
      <w:r w:rsidRPr="00EB71AC">
        <w:rPr>
          <w:bCs/>
          <w:lang w:val="en-US"/>
        </w:rPr>
        <w:t xml:space="preserve"> station host</w:t>
      </w:r>
      <w:r>
        <w:rPr>
          <w:bCs/>
          <w:lang w:val="en-US"/>
        </w:rPr>
        <w:t>s</w:t>
      </w:r>
      <w:r w:rsidRPr="00EB71AC">
        <w:rPr>
          <w:bCs/>
          <w:lang w:val="en-US"/>
        </w:rPr>
        <w:t xml:space="preserve"> two prototypes of seismometers aligned to a common horizontal direction and developed by the group of Fabrizio Barone </w:t>
      </w:r>
      <w:r w:rsidR="002E26C4">
        <w:rPr>
          <w:bCs/>
          <w:lang w:val="en-US"/>
        </w:rPr>
        <w:t>(</w:t>
      </w:r>
      <w:r w:rsidRPr="00EB71AC">
        <w:rPr>
          <w:bCs/>
          <w:lang w:val="en-US"/>
        </w:rPr>
        <w:t>University of Salerno - INFN) based on a monolithic tunable folded pendulum</w:t>
      </w:r>
      <w:r w:rsidR="004C1F4B">
        <w:rPr>
          <w:bCs/>
          <w:lang w:val="en-US"/>
        </w:rPr>
        <w:t xml:space="preserve"> (</w:t>
      </w:r>
      <w:r w:rsidR="004C1F4B" w:rsidRPr="004C1F4B">
        <w:rPr>
          <w:bCs/>
          <w:i/>
          <w:lang w:val="en-US"/>
        </w:rPr>
        <w:t>figure 47</w:t>
      </w:r>
      <w:r w:rsidR="004C1F4B">
        <w:rPr>
          <w:bCs/>
          <w:lang w:val="en-US"/>
        </w:rPr>
        <w:t>)</w:t>
      </w:r>
      <w:sdt>
        <w:sdtPr>
          <w:rPr>
            <w:bCs/>
            <w:lang w:val="en-US"/>
          </w:rPr>
          <w:id w:val="5941630"/>
          <w:citation/>
        </w:sdtPr>
        <w:sdtEndPr>
          <w:rPr>
            <w:vertAlign w:val="superscript"/>
          </w:rPr>
        </w:sdtEndPr>
        <w:sdtContent>
          <w:r w:rsidR="009B29F4" w:rsidRPr="00EB71AC">
            <w:rPr>
              <w:bCs/>
              <w:vertAlign w:val="superscript"/>
              <w:lang w:val="en-US"/>
            </w:rPr>
            <w:fldChar w:fldCharType="begin"/>
          </w:r>
          <w:r w:rsidRPr="00EB71AC">
            <w:rPr>
              <w:bCs/>
              <w:vertAlign w:val="superscript"/>
              <w:lang w:val="en-US"/>
            </w:rPr>
            <w:instrText xml:space="preserve"> CITATION FAc09 \l 1040 </w:instrText>
          </w:r>
          <w:r w:rsidR="009B29F4" w:rsidRPr="00EB71AC">
            <w:rPr>
              <w:bCs/>
              <w:vertAlign w:val="superscript"/>
              <w:lang w:val="en-US"/>
            </w:rPr>
            <w:fldChar w:fldCharType="separate"/>
          </w:r>
          <w:r w:rsidRPr="00EB71AC">
            <w:rPr>
              <w:bCs/>
              <w:noProof/>
              <w:vertAlign w:val="superscript"/>
              <w:lang w:val="en-US"/>
            </w:rPr>
            <w:t xml:space="preserve"> </w:t>
          </w:r>
          <w:r w:rsidRPr="00EB71AC">
            <w:rPr>
              <w:noProof/>
              <w:vertAlign w:val="superscript"/>
              <w:lang w:val="en-US"/>
            </w:rPr>
            <w:t>(4)</w:t>
          </w:r>
          <w:r w:rsidR="009B29F4" w:rsidRPr="00EB71AC">
            <w:rPr>
              <w:bCs/>
              <w:vertAlign w:val="superscript"/>
              <w:lang w:val="en-US"/>
            </w:rPr>
            <w:fldChar w:fldCharType="end"/>
          </w:r>
        </w:sdtContent>
      </w:sdt>
      <w:r>
        <w:rPr>
          <w:bCs/>
          <w:lang w:val="en-US"/>
        </w:rPr>
        <w:t>. Pendulum</w:t>
      </w:r>
      <w:r w:rsidRPr="00EB71AC">
        <w:rPr>
          <w:bCs/>
          <w:lang w:val="en-US"/>
        </w:rPr>
        <w:t xml:space="preserve"> </w:t>
      </w:r>
      <w:r>
        <w:rPr>
          <w:bCs/>
          <w:lang w:val="en-US"/>
        </w:rPr>
        <w:t xml:space="preserve">profile </w:t>
      </w:r>
      <w:r w:rsidRPr="00EB71AC">
        <w:rPr>
          <w:bCs/>
          <w:lang w:val="en-US"/>
        </w:rPr>
        <w:t>is shaped with precision machining and electric discharge machining from one original body of Al-Cu</w:t>
      </w:r>
      <w:r>
        <w:rPr>
          <w:bCs/>
          <w:lang w:val="en-US"/>
        </w:rPr>
        <w:t>-</w:t>
      </w:r>
      <w:r w:rsidRPr="00EB71AC">
        <w:rPr>
          <w:bCs/>
          <w:lang w:val="en-US"/>
        </w:rPr>
        <w:t>Be alloy, and the central m</w:t>
      </w:r>
      <w:r w:rsidR="007976E8">
        <w:rPr>
          <w:bCs/>
          <w:lang w:val="en-US"/>
        </w:rPr>
        <w:t>ass is linked by four</w:t>
      </w:r>
      <w:r w:rsidR="002E26C4">
        <w:rPr>
          <w:bCs/>
          <w:lang w:val="en-US"/>
        </w:rPr>
        <w:t xml:space="preserve"> elliptic</w:t>
      </w:r>
      <w:r>
        <w:rPr>
          <w:bCs/>
          <w:lang w:val="en-US"/>
        </w:rPr>
        <w:t xml:space="preserve"> flex joints with a minimum thickness of </w:t>
      </w:r>
      <w:r w:rsidRPr="00EB71AC">
        <w:rPr>
          <w:bCs/>
          <w:lang w:val="en-US"/>
        </w:rPr>
        <w:t>100</w:t>
      </w:r>
      <w:r w:rsidRPr="00EB71AC">
        <w:rPr>
          <w:bCs/>
          <w:lang w:val="el-GR"/>
        </w:rPr>
        <w:t>μ</w:t>
      </w:r>
      <w:r>
        <w:rPr>
          <w:bCs/>
          <w:lang w:val="en-US"/>
        </w:rPr>
        <w:t>m</w:t>
      </w:r>
      <w:r w:rsidRPr="00EB71AC">
        <w:rPr>
          <w:bCs/>
          <w:lang w:val="en-US"/>
        </w:rPr>
        <w:t>.</w:t>
      </w:r>
      <w:r>
        <w:rPr>
          <w:bCs/>
          <w:lang w:val="en-US"/>
        </w:rPr>
        <w:t xml:space="preserve"> </w:t>
      </w:r>
      <w:r w:rsidR="007976E8" w:rsidRPr="007976E8">
        <w:rPr>
          <w:bCs/>
          <w:lang w:val="en-US"/>
        </w:rPr>
        <w:t>This instrument is very sensitive in the low frequency seismic noise band</w:t>
      </w:r>
      <w:r w:rsidR="007976E8">
        <w:rPr>
          <w:bCs/>
          <w:lang w:val="en-US"/>
        </w:rPr>
        <w:t xml:space="preserve"> (from 10</w:t>
      </w:r>
      <w:r w:rsidR="007976E8" w:rsidRPr="007976E8">
        <w:rPr>
          <w:bCs/>
          <w:vertAlign w:val="superscript"/>
          <w:lang w:val="en-US"/>
        </w:rPr>
        <w:t>-3</w:t>
      </w:r>
      <w:r w:rsidR="007976E8">
        <w:rPr>
          <w:bCs/>
          <w:lang w:val="en-US"/>
        </w:rPr>
        <w:t xml:space="preserve"> to 10 Hz): its </w:t>
      </w:r>
      <w:r w:rsidR="007976E8" w:rsidRPr="007976E8">
        <w:rPr>
          <w:bCs/>
          <w:lang w:val="en-US"/>
        </w:rPr>
        <w:t>sensiti</w:t>
      </w:r>
      <w:r w:rsidR="007976E8">
        <w:rPr>
          <w:bCs/>
          <w:lang w:val="en-US"/>
        </w:rPr>
        <w:t xml:space="preserve">vity is comparable or better (with </w:t>
      </w:r>
      <w:r w:rsidR="00292FDD">
        <w:rPr>
          <w:bCs/>
          <w:lang w:val="en-US"/>
        </w:rPr>
        <w:t>interferometric readout) than</w:t>
      </w:r>
      <w:r w:rsidR="007976E8" w:rsidRPr="007976E8">
        <w:rPr>
          <w:bCs/>
          <w:lang w:val="en-US"/>
        </w:rPr>
        <w:t xml:space="preserve"> the STS-2</w:t>
      </w:r>
      <w:sdt>
        <w:sdtPr>
          <w:rPr>
            <w:bCs/>
            <w:lang w:val="en-US"/>
          </w:rPr>
          <w:id w:val="5941634"/>
          <w:citation/>
        </w:sdtPr>
        <w:sdtEndPr>
          <w:rPr>
            <w:vertAlign w:val="superscript"/>
          </w:rPr>
        </w:sdtEndPr>
        <w:sdtContent>
          <w:r w:rsidR="009B29F4" w:rsidRPr="007976E8">
            <w:rPr>
              <w:bCs/>
              <w:vertAlign w:val="superscript"/>
              <w:lang w:val="en-US"/>
            </w:rPr>
            <w:fldChar w:fldCharType="begin"/>
          </w:r>
          <w:r w:rsidR="007976E8" w:rsidRPr="007976E8">
            <w:rPr>
              <w:bCs/>
              <w:vertAlign w:val="superscript"/>
              <w:lang w:val="en-US"/>
            </w:rPr>
            <w:instrText xml:space="preserve"> CITATION FAc09 \l 1040 </w:instrText>
          </w:r>
          <w:r w:rsidR="009B29F4" w:rsidRPr="007976E8">
            <w:rPr>
              <w:bCs/>
              <w:vertAlign w:val="superscript"/>
              <w:lang w:val="en-US"/>
            </w:rPr>
            <w:fldChar w:fldCharType="separate"/>
          </w:r>
          <w:r w:rsidR="007976E8" w:rsidRPr="007976E8">
            <w:rPr>
              <w:bCs/>
              <w:noProof/>
              <w:vertAlign w:val="superscript"/>
              <w:lang w:val="en-US"/>
            </w:rPr>
            <w:t xml:space="preserve"> </w:t>
          </w:r>
          <w:r w:rsidR="007976E8" w:rsidRPr="007976E8">
            <w:rPr>
              <w:noProof/>
              <w:vertAlign w:val="superscript"/>
              <w:lang w:val="en-US"/>
            </w:rPr>
            <w:t>(4)</w:t>
          </w:r>
          <w:r w:rsidR="009B29F4" w:rsidRPr="007976E8">
            <w:rPr>
              <w:bCs/>
              <w:vertAlign w:val="superscript"/>
              <w:lang w:val="en-US"/>
            </w:rPr>
            <w:fldChar w:fldCharType="end"/>
          </w:r>
        </w:sdtContent>
      </w:sdt>
      <w:r w:rsidR="007976E8" w:rsidRPr="007976E8">
        <w:rPr>
          <w:bCs/>
          <w:lang w:val="en-US"/>
        </w:rPr>
        <w:t>. The resonance frequency is tunable</w:t>
      </w:r>
      <w:r w:rsidR="004C1F4B">
        <w:rPr>
          <w:bCs/>
          <w:lang w:val="en-US"/>
        </w:rPr>
        <w:t xml:space="preserve"> (</w:t>
      </w:r>
      <w:r w:rsidR="004C1F4B" w:rsidRPr="004C1F4B">
        <w:rPr>
          <w:bCs/>
          <w:i/>
          <w:lang w:val="en-US"/>
        </w:rPr>
        <w:t>figure 48,49</w:t>
      </w:r>
      <w:r w:rsidR="004C1F4B">
        <w:rPr>
          <w:bCs/>
          <w:lang w:val="en-US"/>
        </w:rPr>
        <w:t>)</w:t>
      </w:r>
      <w:r w:rsidR="007976E8" w:rsidRPr="007976E8">
        <w:rPr>
          <w:bCs/>
          <w:lang w:val="en-US"/>
        </w:rPr>
        <w:t xml:space="preserve"> as </w:t>
      </w:r>
      <w:r w:rsidR="007976E8">
        <w:rPr>
          <w:bCs/>
          <w:lang w:val="en-US"/>
        </w:rPr>
        <w:t xml:space="preserve">well as </w:t>
      </w:r>
      <w:r w:rsidR="00947A00">
        <w:rPr>
          <w:bCs/>
          <w:lang w:val="en-US"/>
        </w:rPr>
        <w:t xml:space="preserve">the integrated </w:t>
      </w:r>
      <w:r w:rsidR="007976E8" w:rsidRPr="007976E8">
        <w:rPr>
          <w:bCs/>
          <w:lang w:val="en-US"/>
        </w:rPr>
        <w:t>optical re</w:t>
      </w:r>
      <w:r w:rsidR="007976E8">
        <w:rPr>
          <w:bCs/>
          <w:lang w:val="en-US"/>
        </w:rPr>
        <w:t>a</w:t>
      </w:r>
      <w:r w:rsidR="007976E8" w:rsidRPr="007976E8">
        <w:rPr>
          <w:bCs/>
          <w:lang w:val="en-US"/>
        </w:rPr>
        <w:t>dout</w:t>
      </w:r>
      <w:r w:rsidR="007976E8">
        <w:rPr>
          <w:bCs/>
          <w:lang w:val="en-US"/>
        </w:rPr>
        <w:t xml:space="preserve"> composed by o</w:t>
      </w:r>
      <w:r w:rsidR="00947A00">
        <w:rPr>
          <w:bCs/>
          <w:lang w:val="en-US"/>
        </w:rPr>
        <w:t>ptical lever and interferometer using a NIR laser source</w:t>
      </w:r>
      <w:r w:rsidR="004C1F4B">
        <w:rPr>
          <w:bCs/>
          <w:lang w:val="en-US"/>
        </w:rPr>
        <w:t xml:space="preserve"> (</w:t>
      </w:r>
      <w:r w:rsidR="004C1F4B" w:rsidRPr="004C1F4B">
        <w:rPr>
          <w:bCs/>
          <w:i/>
          <w:lang w:val="en-US"/>
        </w:rPr>
        <w:t>figure 50,51</w:t>
      </w:r>
      <w:r w:rsidR="004C1F4B">
        <w:rPr>
          <w:bCs/>
          <w:lang w:val="en-US"/>
        </w:rPr>
        <w:t>)</w:t>
      </w:r>
      <w:r w:rsidR="00947A00">
        <w:rPr>
          <w:bCs/>
          <w:lang w:val="en-US"/>
        </w:rPr>
        <w:t>.</w:t>
      </w:r>
    </w:p>
    <w:p w:rsidR="002B01B5" w:rsidRDefault="002B01B5" w:rsidP="002B01B5">
      <w:pPr>
        <w:keepNext/>
        <w:jc w:val="center"/>
      </w:pPr>
      <w:r w:rsidRPr="002B01B5">
        <w:rPr>
          <w:b/>
          <w:noProof/>
          <w:sz w:val="24"/>
          <w:szCs w:val="24"/>
          <w:lang w:eastAsia="it-IT"/>
        </w:rPr>
        <w:lastRenderedPageBreak/>
        <w:drawing>
          <wp:inline distT="0" distB="0" distL="0" distR="0">
            <wp:extent cx="3566192" cy="2108139"/>
            <wp:effectExtent l="19050" t="0" r="0" b="0"/>
            <wp:docPr id="46"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5" name="Picture 10"/>
                    <pic:cNvPicPr>
                      <a:picLocks noChangeAspect="1" noChangeArrowheads="1"/>
                    </pic:cNvPicPr>
                  </pic:nvPicPr>
                  <pic:blipFill>
                    <a:blip r:embed="rId55"/>
                    <a:stretch>
                      <a:fillRect/>
                    </a:stretch>
                  </pic:blipFill>
                  <pic:spPr bwMode="auto">
                    <a:xfrm>
                      <a:off x="0" y="0"/>
                      <a:ext cx="3566192" cy="2108139"/>
                    </a:xfrm>
                    <a:prstGeom prst="rect">
                      <a:avLst/>
                    </a:prstGeom>
                    <a:noFill/>
                    <a:ln w="9525">
                      <a:noFill/>
                      <a:miter lim="800000"/>
                      <a:headEnd/>
                      <a:tailEnd/>
                    </a:ln>
                  </pic:spPr>
                </pic:pic>
              </a:graphicData>
            </a:graphic>
          </wp:inline>
        </w:drawing>
      </w:r>
    </w:p>
    <w:p w:rsidR="002B01B5" w:rsidRPr="00B74F71" w:rsidRDefault="002B01B5" w:rsidP="002B01B5">
      <w:pPr>
        <w:pStyle w:val="Didascalia"/>
        <w:jc w:val="center"/>
        <w:rPr>
          <w:noProof/>
          <w:color w:val="1F497D" w:themeColor="text2"/>
          <w:lang w:val="en-US" w:eastAsia="it-IT"/>
        </w:rPr>
      </w:pPr>
      <w:r w:rsidRPr="00B74F71">
        <w:rPr>
          <w:color w:val="1F497D" w:themeColor="text2"/>
          <w:lang w:val="en-US"/>
        </w:rPr>
        <w:t>Figure 47: scheme of the folded pendulum</w:t>
      </w:r>
      <w:r w:rsidR="00947A00" w:rsidRPr="00B74F71">
        <w:rPr>
          <w:color w:val="1F497D" w:themeColor="text2"/>
          <w:lang w:val="en-US"/>
        </w:rPr>
        <w:t xml:space="preserve"> system</w:t>
      </w:r>
      <w:sdt>
        <w:sdtPr>
          <w:rPr>
            <w:color w:val="1F497D" w:themeColor="text2"/>
            <w:lang w:val="en-US"/>
          </w:rPr>
          <w:id w:val="5941635"/>
          <w:citation/>
        </w:sdtPr>
        <w:sdtEndPr>
          <w:rPr>
            <w:vertAlign w:val="superscript"/>
          </w:rPr>
        </w:sdtEndPr>
        <w:sdtContent>
          <w:r w:rsidR="009B29F4" w:rsidRPr="00B74F71">
            <w:rPr>
              <w:color w:val="1F497D" w:themeColor="text2"/>
              <w:vertAlign w:val="superscript"/>
              <w:lang w:val="en-US"/>
            </w:rPr>
            <w:fldChar w:fldCharType="begin"/>
          </w:r>
          <w:r w:rsidR="00947A00" w:rsidRPr="00B74F71">
            <w:rPr>
              <w:color w:val="1F497D" w:themeColor="text2"/>
              <w:vertAlign w:val="superscript"/>
              <w:lang w:val="en-US"/>
            </w:rPr>
            <w:instrText xml:space="preserve"> CITATION FAc09 \l 1040 </w:instrText>
          </w:r>
          <w:r w:rsidR="009B29F4" w:rsidRPr="00B74F71">
            <w:rPr>
              <w:color w:val="1F497D" w:themeColor="text2"/>
              <w:vertAlign w:val="superscript"/>
              <w:lang w:val="en-US"/>
            </w:rPr>
            <w:fldChar w:fldCharType="separate"/>
          </w:r>
          <w:r w:rsidR="00947A00" w:rsidRPr="00B74F71">
            <w:rPr>
              <w:noProof/>
              <w:color w:val="1F497D" w:themeColor="text2"/>
              <w:vertAlign w:val="superscript"/>
              <w:lang w:val="en-US"/>
            </w:rPr>
            <w:t xml:space="preserve"> (4)</w:t>
          </w:r>
          <w:r w:rsidR="009B29F4" w:rsidRPr="00B74F71">
            <w:rPr>
              <w:color w:val="1F497D" w:themeColor="text2"/>
              <w:vertAlign w:val="superscript"/>
              <w:lang w:val="en-US"/>
            </w:rPr>
            <w:fldChar w:fldCharType="end"/>
          </w:r>
        </w:sdtContent>
      </w:sdt>
    </w:p>
    <w:p w:rsidR="00947A00" w:rsidRDefault="002B01B5" w:rsidP="00947A00">
      <w:pPr>
        <w:keepNext/>
      </w:pPr>
      <w:r>
        <w:rPr>
          <w:b/>
          <w:noProof/>
          <w:sz w:val="24"/>
          <w:szCs w:val="24"/>
          <w:lang w:eastAsia="it-IT"/>
        </w:rPr>
        <w:drawing>
          <wp:anchor distT="0" distB="0" distL="114300" distR="114300" simplePos="0" relativeHeight="251682816" behindDoc="0" locked="0" layoutInCell="1" allowOverlap="1">
            <wp:simplePos x="0" y="0"/>
            <wp:positionH relativeFrom="column">
              <wp:posOffset>777240</wp:posOffset>
            </wp:positionH>
            <wp:positionV relativeFrom="paragraph">
              <wp:posOffset>1355725</wp:posOffset>
            </wp:positionV>
            <wp:extent cx="952500" cy="91440"/>
            <wp:effectExtent l="19050" t="0" r="0" b="0"/>
            <wp:wrapNone/>
            <wp:docPr id="52" name="Oggetto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143000" cy="152400"/>
                      <a:chOff x="6172200" y="2971800"/>
                      <a:chExt cx="1143000" cy="152400"/>
                    </a:xfrm>
                  </a:grpSpPr>
                  <a:sp>
                    <a:nvSpPr>
                      <a:cNvPr id="49163" name="Freccia bidirezionale orizzontale 14"/>
                      <a:cNvSpPr>
                        <a:spLocks noChangeArrowheads="1"/>
                      </a:cNvSpPr>
                    </a:nvSpPr>
                    <a:spPr bwMode="auto">
                      <a:xfrm>
                        <a:off x="6172200" y="2971800"/>
                        <a:ext cx="1143000" cy="152400"/>
                      </a:xfrm>
                      <a:prstGeom prst="leftRightArrow">
                        <a:avLst>
                          <a:gd name="adj1" fmla="val 50000"/>
                          <a:gd name="adj2" fmla="val 50000"/>
                        </a:avLst>
                      </a:prstGeom>
                      <a:solidFill>
                        <a:srgbClr val="FF0000"/>
                      </a:solidFill>
                      <a:ln w="9525" algn="ctr">
                        <a:noFill/>
                        <a:round/>
                        <a:headEnd/>
                        <a:tailEnd/>
                      </a:ln>
                    </a:spPr>
                    <a:txSp>
                      <a:txBody>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it-IT"/>
                        </a:p>
                      </a:txBody>
                      <a:useSpRect/>
                    </a:txSp>
                  </a:sp>
                </lc:lockedCanvas>
              </a:graphicData>
            </a:graphic>
          </wp:anchor>
        </w:drawing>
      </w:r>
      <w:r w:rsidRPr="002B01B5">
        <w:rPr>
          <w:b/>
          <w:noProof/>
          <w:sz w:val="24"/>
          <w:szCs w:val="24"/>
          <w:lang w:eastAsia="it-IT"/>
        </w:rPr>
        <w:drawing>
          <wp:inline distT="0" distB="0" distL="0" distR="0">
            <wp:extent cx="2631440" cy="1973580"/>
            <wp:effectExtent l="19050" t="0" r="0" b="0"/>
            <wp:docPr id="57" name="Immagine 6" descr="C:\Documents and Settings\pc\Desktop\seminario_hanford\pictures\P101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4" name="Picture 4" descr="C:\Documents and Settings\pc\Desktop\seminario_hanford\pictures\P1010102.JPG"/>
                    <pic:cNvPicPr>
                      <a:picLocks noChangeAspect="1" noChangeArrowheads="1"/>
                    </pic:cNvPicPr>
                  </pic:nvPicPr>
                  <pic:blipFill>
                    <a:blip r:embed="rId56" cstate="print"/>
                    <a:srcRect/>
                    <a:stretch>
                      <a:fillRect/>
                    </a:stretch>
                  </pic:blipFill>
                  <pic:spPr bwMode="auto">
                    <a:xfrm>
                      <a:off x="0" y="0"/>
                      <a:ext cx="2631440" cy="1973580"/>
                    </a:xfrm>
                    <a:prstGeom prst="rect">
                      <a:avLst/>
                    </a:prstGeom>
                    <a:noFill/>
                    <a:ln w="9525">
                      <a:noFill/>
                      <a:miter lim="800000"/>
                      <a:headEnd/>
                      <a:tailEnd/>
                    </a:ln>
                  </pic:spPr>
                </pic:pic>
              </a:graphicData>
            </a:graphic>
          </wp:inline>
        </w:drawing>
      </w:r>
      <w:r w:rsidRPr="002B01B5">
        <w:rPr>
          <w:b/>
          <w:noProof/>
          <w:sz w:val="24"/>
          <w:szCs w:val="24"/>
          <w:lang w:eastAsia="it-IT"/>
        </w:rPr>
        <w:drawing>
          <wp:inline distT="0" distB="0" distL="0" distR="0">
            <wp:extent cx="3333750" cy="2072640"/>
            <wp:effectExtent l="19050" t="0" r="0" b="0"/>
            <wp:docPr id="55" name="Oggetto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84688" cy="2667000"/>
                      <a:chOff x="4419600" y="3657600"/>
                      <a:chExt cx="4484688" cy="2667000"/>
                    </a:xfrm>
                  </a:grpSpPr>
                  <a:pic>
                    <a:nvPicPr>
                      <a:cNvPr id="49160" name="Picture 11" descr="C:\Documents and Settings\pc\Desktop\SummerStudent2009\accelerometri salerno\resonantfrequency.JPG"/>
                      <a:cNvPicPr>
                        <a:picLocks noChangeAspect="1" noChangeArrowheads="1"/>
                      </a:cNvPicPr>
                    </a:nvPicPr>
                    <a:blipFill>
                      <a:blip r:embed="rId57"/>
                      <a:srcRect/>
                      <a:stretch>
                        <a:fillRect/>
                      </a:stretch>
                    </a:blipFill>
                    <a:spPr bwMode="auto">
                      <a:xfrm>
                        <a:off x="4419600" y="3657600"/>
                        <a:ext cx="4484688" cy="2667000"/>
                      </a:xfrm>
                      <a:prstGeom prst="rect">
                        <a:avLst/>
                      </a:prstGeom>
                      <a:noFill/>
                      <a:ln w="9525">
                        <a:noFill/>
                        <a:miter lim="800000"/>
                        <a:headEnd/>
                        <a:tailEnd/>
                      </a:ln>
                    </a:spPr>
                  </a:pic>
                  <a:cxnSp>
                    <a:nvCxnSpPr>
                      <a:cNvPr id="49161" name="Connettore 2 12"/>
                      <a:cNvCxnSpPr>
                        <a:cxnSpLocks noChangeShapeType="1"/>
                      </a:cNvCxnSpPr>
                    </a:nvCxnSpPr>
                    <a:spPr bwMode="auto">
                      <a:xfrm>
                        <a:off x="8229600" y="5715000"/>
                        <a:ext cx="381000" cy="1588"/>
                      </a:xfrm>
                      <a:prstGeom prst="straightConnector1">
                        <a:avLst/>
                      </a:prstGeom>
                      <a:noFill/>
                      <a:ln w="9525" algn="ctr">
                        <a:solidFill>
                          <a:srgbClr val="FF0000"/>
                        </a:solidFill>
                        <a:round/>
                        <a:headEnd/>
                        <a:tailEnd type="arrow" w="med" len="med"/>
                      </a:ln>
                    </a:spPr>
                  </a:cxnSp>
                  <a:sp>
                    <a:nvSpPr>
                      <a:cNvPr id="49162" name="CasellaDiTesto 13"/>
                      <a:cNvSpPr txBox="1">
                        <a:spLocks noChangeArrowheads="1"/>
                      </a:cNvSpPr>
                    </a:nvSpPr>
                    <a:spPr bwMode="auto">
                      <a:xfrm>
                        <a:off x="7543800" y="5562600"/>
                        <a:ext cx="714375" cy="276225"/>
                      </a:xfrm>
                      <a:prstGeom prst="rect">
                        <a:avLst/>
                      </a:prstGeom>
                      <a:noFill/>
                      <a:ln w="9525">
                        <a:noFill/>
                        <a:miter lim="800000"/>
                        <a:headEnd/>
                        <a:tailEnd/>
                      </a:ln>
                    </a:spPr>
                    <a:txSp>
                      <a:txBody>
                        <a:bodyPr wrap="none">
                          <a:spAutoFit/>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it-IT" sz="1200">
                              <a:solidFill>
                                <a:srgbClr val="FF0000"/>
                              </a:solidFill>
                            </a:rPr>
                            <a:t>70 mHz</a:t>
                          </a:r>
                        </a:p>
                      </a:txBody>
                      <a:useSpRect/>
                    </a:txSp>
                  </a:sp>
                </lc:lockedCanvas>
              </a:graphicData>
            </a:graphic>
          </wp:inline>
        </w:drawing>
      </w:r>
    </w:p>
    <w:p w:rsidR="002B01B5" w:rsidRPr="00B74F71" w:rsidRDefault="00947A00" w:rsidP="00947A00">
      <w:pPr>
        <w:pStyle w:val="Didascalia"/>
        <w:rPr>
          <w:b w:val="0"/>
          <w:color w:val="1F497D" w:themeColor="text2"/>
          <w:sz w:val="24"/>
          <w:szCs w:val="24"/>
          <w:lang w:val="en-US"/>
        </w:rPr>
      </w:pPr>
      <w:r w:rsidRPr="00B74F71">
        <w:rPr>
          <w:color w:val="1F497D" w:themeColor="text2"/>
          <w:lang w:val="en-US"/>
        </w:rPr>
        <w:t>Figure 48,49: horizontal seismometer prototype is shown on the right:  a red arrow denotes the tunable center mass; resonance frequencies depending on mass position are shown in figure 49</w:t>
      </w:r>
      <w:sdt>
        <w:sdtPr>
          <w:rPr>
            <w:color w:val="1F497D" w:themeColor="text2"/>
            <w:lang w:val="en-US"/>
          </w:rPr>
          <w:id w:val="5941636"/>
          <w:citation/>
        </w:sdtPr>
        <w:sdtEndPr>
          <w:rPr>
            <w:vertAlign w:val="superscript"/>
          </w:rPr>
        </w:sdtEndPr>
        <w:sdtContent>
          <w:r w:rsidR="009B29F4" w:rsidRPr="00B74F71">
            <w:rPr>
              <w:color w:val="1F497D" w:themeColor="text2"/>
              <w:vertAlign w:val="superscript"/>
              <w:lang w:val="en-US"/>
            </w:rPr>
            <w:fldChar w:fldCharType="begin"/>
          </w:r>
          <w:r w:rsidRPr="00B74F71">
            <w:rPr>
              <w:color w:val="1F497D" w:themeColor="text2"/>
              <w:vertAlign w:val="superscript"/>
              <w:lang w:val="en-US"/>
            </w:rPr>
            <w:instrText xml:space="preserve"> CITATION FAc09 \l 1040 </w:instrText>
          </w:r>
          <w:r w:rsidR="009B29F4" w:rsidRPr="00B74F71">
            <w:rPr>
              <w:color w:val="1F497D" w:themeColor="text2"/>
              <w:vertAlign w:val="superscript"/>
              <w:lang w:val="en-US"/>
            </w:rPr>
            <w:fldChar w:fldCharType="separate"/>
          </w:r>
          <w:r w:rsidRPr="00B74F71">
            <w:rPr>
              <w:noProof/>
              <w:color w:val="1F497D" w:themeColor="text2"/>
              <w:vertAlign w:val="superscript"/>
              <w:lang w:val="en-US"/>
            </w:rPr>
            <w:t xml:space="preserve"> (4)</w:t>
          </w:r>
          <w:r w:rsidR="009B29F4" w:rsidRPr="00B74F71">
            <w:rPr>
              <w:color w:val="1F497D" w:themeColor="text2"/>
              <w:vertAlign w:val="superscript"/>
              <w:lang w:val="en-US"/>
            </w:rPr>
            <w:fldChar w:fldCharType="end"/>
          </w:r>
        </w:sdtContent>
      </w:sdt>
    </w:p>
    <w:p w:rsidR="00947A00" w:rsidRDefault="00947A00" w:rsidP="00947A00">
      <w:pPr>
        <w:keepNext/>
      </w:pPr>
      <w:r w:rsidRPr="00947A00">
        <w:rPr>
          <w:b/>
          <w:noProof/>
          <w:sz w:val="24"/>
          <w:szCs w:val="24"/>
          <w:lang w:eastAsia="it-IT"/>
        </w:rPr>
        <w:drawing>
          <wp:inline distT="0" distB="0" distL="0" distR="0">
            <wp:extent cx="2651760" cy="1851660"/>
            <wp:effectExtent l="19050" t="0" r="0" b="0"/>
            <wp:docPr id="58" name="Oggetto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044825" cy="2286000"/>
                      <a:chOff x="685800" y="1371600"/>
                      <a:chExt cx="3044825" cy="2286000"/>
                    </a:xfrm>
                  </a:grpSpPr>
                  <a:pic>
                    <a:nvPicPr>
                      <a:cNvPr id="49157" name="Picture 2" descr="C:\Documents and Settings\pc\Desktop\seminario_hanford\pictures\6.JPG"/>
                      <a:cNvPicPr>
                        <a:picLocks noChangeAspect="1" noChangeArrowheads="1"/>
                      </a:cNvPicPr>
                    </a:nvPicPr>
                    <a:blipFill>
                      <a:blip r:embed="rId58"/>
                      <a:srcRect/>
                      <a:stretch>
                        <a:fillRect/>
                      </a:stretch>
                    </a:blipFill>
                    <a:spPr bwMode="auto">
                      <a:xfrm>
                        <a:off x="685800" y="1371600"/>
                        <a:ext cx="3044825" cy="2286000"/>
                      </a:xfrm>
                      <a:prstGeom prst="rect">
                        <a:avLst/>
                      </a:prstGeom>
                      <a:noFill/>
                      <a:ln w="9525">
                        <a:noFill/>
                        <a:miter lim="800000"/>
                        <a:headEnd/>
                        <a:tailEnd/>
                      </a:ln>
                    </a:spPr>
                  </a:pic>
                  <a:cxnSp>
                    <a:nvCxnSpPr>
                      <a:cNvPr id="49164" name="Connettore 1 16"/>
                      <a:cNvCxnSpPr>
                        <a:cxnSpLocks noChangeShapeType="1"/>
                      </a:cNvCxnSpPr>
                    </a:nvCxnSpPr>
                    <a:spPr bwMode="auto">
                      <a:xfrm>
                        <a:off x="1600200" y="2209800"/>
                        <a:ext cx="609600" cy="304800"/>
                      </a:xfrm>
                      <a:prstGeom prst="line">
                        <a:avLst/>
                      </a:prstGeom>
                      <a:noFill/>
                      <a:ln w="31750" algn="ctr">
                        <a:solidFill>
                          <a:srgbClr val="FF0000"/>
                        </a:solidFill>
                        <a:prstDash val="sysDot"/>
                        <a:round/>
                        <a:headEnd/>
                        <a:tailEnd/>
                      </a:ln>
                    </a:spPr>
                  </a:cxnSp>
                  <a:cxnSp>
                    <a:nvCxnSpPr>
                      <a:cNvPr id="49165" name="Connettore 1 17"/>
                      <a:cNvCxnSpPr>
                        <a:cxnSpLocks noChangeShapeType="1"/>
                      </a:cNvCxnSpPr>
                    </a:nvCxnSpPr>
                    <a:spPr bwMode="auto">
                      <a:xfrm flipV="1">
                        <a:off x="1371600" y="2514600"/>
                        <a:ext cx="838200" cy="228600"/>
                      </a:xfrm>
                      <a:prstGeom prst="line">
                        <a:avLst/>
                      </a:prstGeom>
                      <a:noFill/>
                      <a:ln w="31750" algn="ctr">
                        <a:solidFill>
                          <a:srgbClr val="FF0000"/>
                        </a:solidFill>
                        <a:prstDash val="sysDot"/>
                        <a:round/>
                        <a:headEnd/>
                        <a:tailEnd/>
                      </a:ln>
                    </a:spPr>
                  </a:cxnSp>
                </lc:lockedCanvas>
              </a:graphicData>
            </a:graphic>
          </wp:inline>
        </w:drawing>
      </w:r>
      <w:r>
        <w:rPr>
          <w:b/>
          <w:sz w:val="24"/>
          <w:szCs w:val="24"/>
        </w:rPr>
        <w:tab/>
      </w:r>
      <w:r w:rsidRPr="00947A00">
        <w:rPr>
          <w:b/>
          <w:noProof/>
          <w:sz w:val="24"/>
          <w:szCs w:val="24"/>
          <w:lang w:eastAsia="it-IT"/>
        </w:rPr>
        <w:drawing>
          <wp:inline distT="0" distB="0" distL="0" distR="0">
            <wp:extent cx="2960370" cy="1905000"/>
            <wp:effectExtent l="19050" t="0" r="0" b="0"/>
            <wp:docPr id="59" name="Immagine 10" descr="C:\Documents and Settings\pc\Desktop\seminario_homestake\laser2.JPG"/>
            <wp:cNvGraphicFramePr/>
            <a:graphic xmlns:a="http://schemas.openxmlformats.org/drawingml/2006/main">
              <a:graphicData uri="http://schemas.openxmlformats.org/drawingml/2006/picture">
                <pic:pic xmlns:pic="http://schemas.openxmlformats.org/drawingml/2006/picture">
                  <pic:nvPicPr>
                    <pic:cNvPr id="50185" name="Picture 3" descr="C:\Documents and Settings\pc\Desktop\seminario_homestake\laser2.JPG"/>
                    <pic:cNvPicPr>
                      <a:picLocks noChangeAspect="1" noChangeArrowheads="1"/>
                    </pic:cNvPicPr>
                  </pic:nvPicPr>
                  <pic:blipFill>
                    <a:blip r:embed="rId59"/>
                    <a:srcRect/>
                    <a:stretch>
                      <a:fillRect/>
                    </a:stretch>
                  </pic:blipFill>
                  <pic:spPr bwMode="auto">
                    <a:xfrm>
                      <a:off x="0" y="0"/>
                      <a:ext cx="2960370" cy="1905000"/>
                    </a:xfrm>
                    <a:prstGeom prst="rect">
                      <a:avLst/>
                    </a:prstGeom>
                    <a:noFill/>
                    <a:ln w="9525">
                      <a:noFill/>
                      <a:miter lim="800000"/>
                      <a:headEnd/>
                      <a:tailEnd/>
                    </a:ln>
                  </pic:spPr>
                </pic:pic>
              </a:graphicData>
            </a:graphic>
          </wp:inline>
        </w:drawing>
      </w:r>
    </w:p>
    <w:p w:rsidR="00947A00" w:rsidRPr="00B74F71" w:rsidRDefault="00947A00" w:rsidP="00947A00">
      <w:pPr>
        <w:pStyle w:val="Didascalia"/>
        <w:rPr>
          <w:b w:val="0"/>
          <w:color w:val="1F497D" w:themeColor="text2"/>
          <w:sz w:val="24"/>
          <w:szCs w:val="24"/>
          <w:lang w:val="en-US"/>
        </w:rPr>
      </w:pPr>
      <w:r w:rsidRPr="00B74F71">
        <w:rPr>
          <w:color w:val="1F497D" w:themeColor="text2"/>
          <w:lang w:val="en-US"/>
        </w:rPr>
        <w:t xml:space="preserve">Figure </w:t>
      </w:r>
      <w:r w:rsidR="004C1F4B" w:rsidRPr="00B74F71">
        <w:rPr>
          <w:color w:val="1F497D" w:themeColor="text2"/>
          <w:lang w:val="en-US"/>
        </w:rPr>
        <w:t>50</w:t>
      </w:r>
      <w:r w:rsidRPr="00B74F71">
        <w:rPr>
          <w:color w:val="1F497D" w:themeColor="text2"/>
          <w:lang w:val="en-US"/>
        </w:rPr>
        <w:t>,5</w:t>
      </w:r>
      <w:r w:rsidR="004C1F4B" w:rsidRPr="00B74F71">
        <w:rPr>
          <w:color w:val="1F497D" w:themeColor="text2"/>
          <w:lang w:val="en-US"/>
        </w:rPr>
        <w:t>1</w:t>
      </w:r>
      <w:r w:rsidRPr="00B74F71">
        <w:rPr>
          <w:color w:val="1F497D" w:themeColor="text2"/>
          <w:lang w:val="en-US"/>
        </w:rPr>
        <w:t xml:space="preserve">: the optical lever used in the horizontal seismometer prototype is shown on the left, the dotted red line denotes </w:t>
      </w:r>
      <w:r w:rsidR="00F411B0" w:rsidRPr="00B74F71">
        <w:rPr>
          <w:color w:val="1F497D" w:themeColor="text2"/>
          <w:lang w:val="en-US"/>
        </w:rPr>
        <w:t>the optical path from laser transmitter reflecting to the PSD</w:t>
      </w:r>
      <w:sdt>
        <w:sdtPr>
          <w:rPr>
            <w:color w:val="1F497D" w:themeColor="text2"/>
            <w:lang w:val="en-US"/>
          </w:rPr>
          <w:id w:val="5941637"/>
          <w:citation/>
        </w:sdtPr>
        <w:sdtEndPr>
          <w:rPr>
            <w:vertAlign w:val="superscript"/>
          </w:rPr>
        </w:sdtEndPr>
        <w:sdtContent>
          <w:r w:rsidR="009B29F4" w:rsidRPr="00B74F71">
            <w:rPr>
              <w:color w:val="1F497D" w:themeColor="text2"/>
              <w:vertAlign w:val="superscript"/>
              <w:lang w:val="en-US"/>
            </w:rPr>
            <w:fldChar w:fldCharType="begin"/>
          </w:r>
          <w:r w:rsidR="00F411B0" w:rsidRPr="00B74F71">
            <w:rPr>
              <w:color w:val="1F497D" w:themeColor="text2"/>
              <w:vertAlign w:val="superscript"/>
              <w:lang w:val="en-US"/>
            </w:rPr>
            <w:instrText xml:space="preserve"> CITATION FAc09 \l 1040 </w:instrText>
          </w:r>
          <w:r w:rsidR="009B29F4" w:rsidRPr="00B74F71">
            <w:rPr>
              <w:color w:val="1F497D" w:themeColor="text2"/>
              <w:vertAlign w:val="superscript"/>
              <w:lang w:val="en-US"/>
            </w:rPr>
            <w:fldChar w:fldCharType="separate"/>
          </w:r>
          <w:r w:rsidR="00F411B0" w:rsidRPr="00B74F71">
            <w:rPr>
              <w:noProof/>
              <w:color w:val="1F497D" w:themeColor="text2"/>
              <w:vertAlign w:val="superscript"/>
              <w:lang w:val="en-US"/>
            </w:rPr>
            <w:t xml:space="preserve"> (4)</w:t>
          </w:r>
          <w:r w:rsidR="009B29F4" w:rsidRPr="00B74F71">
            <w:rPr>
              <w:color w:val="1F497D" w:themeColor="text2"/>
              <w:vertAlign w:val="superscript"/>
              <w:lang w:val="en-US"/>
            </w:rPr>
            <w:fldChar w:fldCharType="end"/>
          </w:r>
        </w:sdtContent>
      </w:sdt>
      <w:r w:rsidR="00F411B0" w:rsidRPr="00B74F71">
        <w:rPr>
          <w:color w:val="1F497D" w:themeColor="text2"/>
          <w:lang w:val="en-US"/>
        </w:rPr>
        <w:t xml:space="preserve"> </w:t>
      </w:r>
      <w:r w:rsidR="002E26C4">
        <w:rPr>
          <w:color w:val="1F497D" w:themeColor="text2"/>
          <w:lang w:val="en-US"/>
        </w:rPr>
        <w:t>. In the right the laser emission spectrum</w:t>
      </w:r>
    </w:p>
    <w:p w:rsidR="0009360A" w:rsidRDefault="00B74F71" w:rsidP="00126257">
      <w:pPr>
        <w:jc w:val="both"/>
        <w:rPr>
          <w:bCs/>
          <w:lang w:val="en-US"/>
        </w:rPr>
      </w:pPr>
      <w:r w:rsidRPr="00B74F71">
        <w:rPr>
          <w:bCs/>
          <w:lang w:val="en-US"/>
        </w:rPr>
        <w:t xml:space="preserve">After the implementation of these </w:t>
      </w:r>
      <w:r>
        <w:rPr>
          <w:bCs/>
          <w:lang w:val="en-US"/>
        </w:rPr>
        <w:t>two prototypes on December 2008</w:t>
      </w:r>
      <w:r w:rsidRPr="00B74F71">
        <w:rPr>
          <w:bCs/>
          <w:lang w:val="en-US"/>
        </w:rPr>
        <w:t xml:space="preserve"> there were some </w:t>
      </w:r>
      <w:r w:rsidR="001F623F" w:rsidRPr="001F623F">
        <w:rPr>
          <w:bCs/>
          <w:lang w:val="en-US"/>
        </w:rPr>
        <w:t>not understood</w:t>
      </w:r>
      <w:r w:rsidRPr="00B74F71">
        <w:rPr>
          <w:bCs/>
          <w:lang w:val="en-US"/>
        </w:rPr>
        <w:t xml:space="preserve"> problems with the remote read-out system</w:t>
      </w:r>
      <w:r w:rsidR="001F623F">
        <w:rPr>
          <w:bCs/>
          <w:lang w:val="en-US"/>
        </w:rPr>
        <w:t xml:space="preserve"> that impeded its functioning</w:t>
      </w:r>
      <w:r w:rsidRPr="00B74F71">
        <w:rPr>
          <w:bCs/>
          <w:lang w:val="en-US"/>
        </w:rPr>
        <w:t xml:space="preserve">. </w:t>
      </w:r>
      <w:r w:rsidR="001F623F">
        <w:rPr>
          <w:bCs/>
          <w:lang w:val="en-US"/>
        </w:rPr>
        <w:t>Only</w:t>
      </w:r>
      <w:r w:rsidRPr="00B74F71">
        <w:rPr>
          <w:bCs/>
          <w:lang w:val="en-US"/>
        </w:rPr>
        <w:t xml:space="preserve"> this summer we could make a check-up of the instruments: the folded pendulum</w:t>
      </w:r>
      <w:r w:rsidR="00CF57F7">
        <w:rPr>
          <w:bCs/>
          <w:lang w:val="en-US"/>
        </w:rPr>
        <w:t xml:space="preserve"> was intact</w:t>
      </w:r>
      <w:r w:rsidRPr="00B74F71">
        <w:rPr>
          <w:bCs/>
          <w:lang w:val="en-US"/>
        </w:rPr>
        <w:t>, the laser sour</w:t>
      </w:r>
      <w:r w:rsidR="00CF57F7">
        <w:rPr>
          <w:bCs/>
          <w:lang w:val="en-US"/>
        </w:rPr>
        <w:t xml:space="preserve">ce </w:t>
      </w:r>
      <w:r w:rsidR="00AC4BC6">
        <w:rPr>
          <w:bCs/>
          <w:lang w:val="en-US"/>
        </w:rPr>
        <w:t>that had been</w:t>
      </w:r>
      <w:r w:rsidR="00CF57F7">
        <w:rPr>
          <w:bCs/>
          <w:lang w:val="en-US"/>
        </w:rPr>
        <w:t xml:space="preserve"> turned off </w:t>
      </w:r>
      <w:r w:rsidR="00AC4BC6">
        <w:rPr>
          <w:bCs/>
          <w:lang w:val="en-US"/>
        </w:rPr>
        <w:t xml:space="preserve">due to a black out </w:t>
      </w:r>
      <w:r w:rsidR="00CF57F7">
        <w:rPr>
          <w:bCs/>
          <w:lang w:val="en-US"/>
        </w:rPr>
        <w:t>was reactivated, the optical lever was</w:t>
      </w:r>
      <w:r w:rsidR="00CF57F7" w:rsidRPr="00CF57F7">
        <w:rPr>
          <w:lang w:val="en-US"/>
        </w:rPr>
        <w:t xml:space="preserve"> </w:t>
      </w:r>
      <w:r w:rsidR="00AC4BC6">
        <w:rPr>
          <w:lang w:val="en-US"/>
        </w:rPr>
        <w:t>aligned</w:t>
      </w:r>
      <w:r w:rsidR="00CF57F7">
        <w:rPr>
          <w:lang w:val="en-US"/>
        </w:rPr>
        <w:t>. However we found a failure of the two electronic box</w:t>
      </w:r>
      <w:r w:rsidR="00CF57F7">
        <w:rPr>
          <w:bCs/>
          <w:lang w:val="en-US"/>
        </w:rPr>
        <w:t>es connected with the seismometer: w</w:t>
      </w:r>
      <w:r w:rsidR="00CF57F7" w:rsidRPr="00CF57F7">
        <w:rPr>
          <w:bCs/>
          <w:lang w:val="en-US"/>
        </w:rPr>
        <w:t>e changed the</w:t>
      </w:r>
      <w:r w:rsidR="00CF57F7">
        <w:rPr>
          <w:bCs/>
          <w:lang w:val="en-US"/>
        </w:rPr>
        <w:t>se</w:t>
      </w:r>
      <w:r w:rsidR="00CF57F7" w:rsidRPr="00CF57F7">
        <w:rPr>
          <w:bCs/>
          <w:lang w:val="en-US"/>
        </w:rPr>
        <w:t xml:space="preserve"> electronic boxes with two </w:t>
      </w:r>
      <w:r w:rsidR="00CF57F7">
        <w:rPr>
          <w:bCs/>
          <w:lang w:val="en-US"/>
        </w:rPr>
        <w:t>new boxes from the University of Salerno,</w:t>
      </w:r>
      <w:r w:rsidR="00CF57F7" w:rsidRPr="00CF57F7">
        <w:rPr>
          <w:bCs/>
          <w:lang w:val="en-US"/>
        </w:rPr>
        <w:t xml:space="preserve"> replacing operational circuits</w:t>
      </w:r>
      <w:r w:rsidR="00D15857">
        <w:rPr>
          <w:bCs/>
          <w:lang w:val="en-US"/>
        </w:rPr>
        <w:t>, cabling new BNC connectors</w:t>
      </w:r>
      <w:r w:rsidR="00CF57F7" w:rsidRPr="00CF57F7">
        <w:rPr>
          <w:bCs/>
          <w:lang w:val="en-US"/>
        </w:rPr>
        <w:t xml:space="preserve"> and looking for</w:t>
      </w:r>
      <w:r w:rsidR="00CF57F7">
        <w:rPr>
          <w:bCs/>
          <w:lang w:val="en-US"/>
        </w:rPr>
        <w:t xml:space="preserve"> possible</w:t>
      </w:r>
      <w:r w:rsidR="00CF57F7" w:rsidRPr="00CF57F7">
        <w:rPr>
          <w:bCs/>
          <w:lang w:val="en-US"/>
        </w:rPr>
        <w:t xml:space="preserve"> shorts.</w:t>
      </w:r>
      <w:r w:rsidR="00CF57F7">
        <w:rPr>
          <w:bCs/>
          <w:lang w:val="en-US"/>
        </w:rPr>
        <w:t xml:space="preserve"> </w:t>
      </w:r>
      <w:r w:rsidR="00AC4BC6" w:rsidRPr="00AC4BC6">
        <w:rPr>
          <w:bCs/>
          <w:lang w:val="en-US"/>
        </w:rPr>
        <w:t>We suppose that</w:t>
      </w:r>
      <w:r w:rsidR="00CF57F7">
        <w:rPr>
          <w:bCs/>
          <w:lang w:val="en-US"/>
        </w:rPr>
        <w:t xml:space="preserve"> the electronics damage was due to </w:t>
      </w:r>
      <w:r w:rsidR="00AC4BC6">
        <w:rPr>
          <w:bCs/>
          <w:lang w:val="en-US"/>
        </w:rPr>
        <w:t>a</w:t>
      </w:r>
      <w:r w:rsidR="00CF57F7">
        <w:rPr>
          <w:bCs/>
          <w:lang w:val="en-US"/>
        </w:rPr>
        <w:t xml:space="preserve"> connector</w:t>
      </w:r>
      <w:r w:rsidR="00AC4BC6">
        <w:rPr>
          <w:bCs/>
          <w:lang w:val="en-US"/>
        </w:rPr>
        <w:t xml:space="preserve"> </w:t>
      </w:r>
      <w:r w:rsidR="00AC4BC6" w:rsidRPr="00AC4BC6">
        <w:rPr>
          <w:bCs/>
          <w:lang w:val="en-US"/>
        </w:rPr>
        <w:t xml:space="preserve">inverted during a previous </w:t>
      </w:r>
      <w:r w:rsidR="00AC4BC6" w:rsidRPr="00AC4BC6">
        <w:rPr>
          <w:bCs/>
          <w:lang w:val="en-US"/>
        </w:rPr>
        <w:lastRenderedPageBreak/>
        <w:t>access, or</w:t>
      </w:r>
      <w:r w:rsidR="00CF57F7">
        <w:rPr>
          <w:bCs/>
          <w:lang w:val="en-US"/>
        </w:rPr>
        <w:t xml:space="preserve"> voltage surges in the DC power supply</w:t>
      </w:r>
      <w:r w:rsidR="00AC4BC6">
        <w:rPr>
          <w:bCs/>
          <w:lang w:val="en-US"/>
        </w:rPr>
        <w:t xml:space="preserve">: this </w:t>
      </w:r>
      <w:r w:rsidR="00D15857">
        <w:rPr>
          <w:bCs/>
          <w:lang w:val="en-US"/>
        </w:rPr>
        <w:t>power supply must be repaired or replaced and a UPS unit installed.</w:t>
      </w:r>
      <w:r w:rsidR="00EA1B18">
        <w:rPr>
          <w:bCs/>
          <w:lang w:val="en-US"/>
        </w:rPr>
        <w:t xml:space="preserve"> During our tests we opened the instrument box of the first prototype and the consequent strain </w:t>
      </w:r>
      <w:r w:rsidR="00AC4BC6">
        <w:rPr>
          <w:bCs/>
          <w:lang w:val="en-US"/>
        </w:rPr>
        <w:t>may have</w:t>
      </w:r>
      <w:r w:rsidR="00EA1B18">
        <w:rPr>
          <w:bCs/>
          <w:lang w:val="en-US"/>
        </w:rPr>
        <w:t xml:space="preserve"> affected the instrument calibration; we </w:t>
      </w:r>
      <w:r w:rsidR="00AC4BC6">
        <w:rPr>
          <w:bCs/>
          <w:lang w:val="en-US"/>
        </w:rPr>
        <w:t>could not recalibrate the instrument becaus</w:t>
      </w:r>
      <w:r w:rsidR="00EA1B18">
        <w:rPr>
          <w:bCs/>
          <w:lang w:val="en-US"/>
        </w:rPr>
        <w:t>e the electronics still d</w:t>
      </w:r>
      <w:r w:rsidR="00AC4BC6">
        <w:rPr>
          <w:bCs/>
          <w:lang w:val="en-US"/>
        </w:rPr>
        <w:t>id not</w:t>
      </w:r>
      <w:r w:rsidR="00EA1B18">
        <w:rPr>
          <w:bCs/>
          <w:lang w:val="en-US"/>
        </w:rPr>
        <w:t xml:space="preserve"> work properly</w:t>
      </w:r>
      <w:r w:rsidR="002E26C4">
        <w:rPr>
          <w:bCs/>
          <w:lang w:val="en-US"/>
        </w:rPr>
        <w:t xml:space="preserve"> with the damaged DC power supply</w:t>
      </w:r>
      <w:r w:rsidR="00AC4BC6">
        <w:rPr>
          <w:bCs/>
          <w:lang w:val="en-US"/>
        </w:rPr>
        <w:t>.</w:t>
      </w:r>
      <w:r w:rsidR="00EA1B18">
        <w:rPr>
          <w:bCs/>
          <w:lang w:val="en-US"/>
        </w:rPr>
        <w:t xml:space="preserve"> </w:t>
      </w:r>
      <w:r w:rsidR="00AC4BC6">
        <w:rPr>
          <w:bCs/>
          <w:lang w:val="en-US"/>
        </w:rPr>
        <w:t>A new calibration will</w:t>
      </w:r>
      <w:r w:rsidR="00EA1B18">
        <w:rPr>
          <w:bCs/>
          <w:lang w:val="en-US"/>
        </w:rPr>
        <w:t xml:space="preserve"> be needed in future.</w:t>
      </w:r>
    </w:p>
    <w:p w:rsidR="0009360A" w:rsidRPr="00156B1D" w:rsidRDefault="0009360A" w:rsidP="0009360A">
      <w:pPr>
        <w:keepNext/>
        <w:jc w:val="center"/>
        <w:rPr>
          <w:lang w:val="en-US"/>
        </w:rPr>
      </w:pPr>
      <w:r>
        <w:rPr>
          <w:bCs/>
          <w:noProof/>
          <w:lang w:eastAsia="it-IT"/>
        </w:rPr>
        <w:drawing>
          <wp:inline distT="0" distB="0" distL="0" distR="0">
            <wp:extent cx="2056999" cy="2743200"/>
            <wp:effectExtent l="19050" t="0" r="401" b="0"/>
            <wp:docPr id="60" name="Immagine 4" descr="C:\Documents and Settings\pc\Desktop\seminario_e_paper_homestake\presentation stuff\pictures\IMG_2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c\Desktop\seminario_e_paper_homestake\presentation stuff\pictures\IMG_2665.JPG"/>
                    <pic:cNvPicPr>
                      <a:picLocks noChangeAspect="1" noChangeArrowheads="1"/>
                    </pic:cNvPicPr>
                  </pic:nvPicPr>
                  <pic:blipFill>
                    <a:blip r:embed="rId60" cstate="print"/>
                    <a:srcRect/>
                    <a:stretch>
                      <a:fillRect/>
                    </a:stretch>
                  </pic:blipFill>
                  <pic:spPr bwMode="auto">
                    <a:xfrm>
                      <a:off x="0" y="0"/>
                      <a:ext cx="2062351" cy="2750337"/>
                    </a:xfrm>
                    <a:prstGeom prst="rect">
                      <a:avLst/>
                    </a:prstGeom>
                    <a:noFill/>
                    <a:ln w="9525">
                      <a:noFill/>
                      <a:miter lim="800000"/>
                      <a:headEnd/>
                      <a:tailEnd/>
                    </a:ln>
                  </pic:spPr>
                </pic:pic>
              </a:graphicData>
            </a:graphic>
          </wp:inline>
        </w:drawing>
      </w:r>
      <w:r w:rsidR="00A66FC7" w:rsidRPr="00156B1D">
        <w:rPr>
          <w:lang w:val="en-US"/>
        </w:rPr>
        <w:t xml:space="preserve"> </w:t>
      </w:r>
      <w:r>
        <w:rPr>
          <w:bCs/>
          <w:noProof/>
          <w:lang w:eastAsia="it-IT"/>
        </w:rPr>
        <w:drawing>
          <wp:inline distT="0" distB="0" distL="0" distR="0">
            <wp:extent cx="3653790" cy="2741225"/>
            <wp:effectExtent l="19050" t="0" r="3810" b="0"/>
            <wp:docPr id="61" name="Immagine 5" descr="C:\Documents and Settings\pc\Desktop\seminario_e_paper_homestake\presentation stuff\pictures\DSC0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c\Desktop\seminario_e_paper_homestake\presentation stuff\pictures\DSC01749.JPG"/>
                    <pic:cNvPicPr>
                      <a:picLocks noChangeAspect="1" noChangeArrowheads="1"/>
                    </pic:cNvPicPr>
                  </pic:nvPicPr>
                  <pic:blipFill>
                    <a:blip r:embed="rId61"/>
                    <a:srcRect/>
                    <a:stretch>
                      <a:fillRect/>
                    </a:stretch>
                  </pic:blipFill>
                  <pic:spPr bwMode="auto">
                    <a:xfrm>
                      <a:off x="0" y="0"/>
                      <a:ext cx="3649385" cy="2737920"/>
                    </a:xfrm>
                    <a:prstGeom prst="rect">
                      <a:avLst/>
                    </a:prstGeom>
                    <a:noFill/>
                    <a:ln w="9525">
                      <a:noFill/>
                      <a:miter lim="800000"/>
                      <a:headEnd/>
                      <a:tailEnd/>
                    </a:ln>
                  </pic:spPr>
                </pic:pic>
              </a:graphicData>
            </a:graphic>
          </wp:inline>
        </w:drawing>
      </w:r>
    </w:p>
    <w:p w:rsidR="00947A00" w:rsidRPr="00F80BBF" w:rsidRDefault="0009360A" w:rsidP="0009360A">
      <w:pPr>
        <w:pStyle w:val="Didascalia"/>
        <w:rPr>
          <w:b w:val="0"/>
          <w:color w:val="1F497D" w:themeColor="text2"/>
          <w:sz w:val="24"/>
          <w:szCs w:val="24"/>
          <w:lang w:val="en-US"/>
        </w:rPr>
      </w:pPr>
      <w:r w:rsidRPr="00F80BBF">
        <w:rPr>
          <w:color w:val="1F497D" w:themeColor="text2"/>
          <w:lang w:val="en-US"/>
        </w:rPr>
        <w:t xml:space="preserve">Figure 52,53: </w:t>
      </w:r>
      <w:r w:rsidR="00F80BBF" w:rsidRPr="00F80BBF">
        <w:rPr>
          <w:color w:val="1F497D" w:themeColor="text2"/>
          <w:lang w:val="en-US"/>
        </w:rPr>
        <w:t>on the right the laser source is shown in the metal box, while the laser power supply, DC power supply and electronics boxes are in the plastic box; on the left an electronic box opened during the work</w:t>
      </w:r>
    </w:p>
    <w:p w:rsidR="00F80BBF" w:rsidRDefault="00F80BBF" w:rsidP="00126257">
      <w:pPr>
        <w:jc w:val="both"/>
        <w:rPr>
          <w:b/>
          <w:sz w:val="24"/>
          <w:szCs w:val="24"/>
          <w:lang w:val="en-US"/>
        </w:rPr>
      </w:pPr>
    </w:p>
    <w:p w:rsidR="00126257" w:rsidRDefault="00126257" w:rsidP="00126257">
      <w:pPr>
        <w:jc w:val="both"/>
        <w:rPr>
          <w:b/>
          <w:sz w:val="24"/>
          <w:szCs w:val="24"/>
          <w:lang w:val="en-US"/>
        </w:rPr>
      </w:pPr>
      <w:r w:rsidRPr="00F80BBF">
        <w:rPr>
          <w:b/>
          <w:sz w:val="24"/>
          <w:szCs w:val="24"/>
          <w:lang w:val="en-US"/>
        </w:rPr>
        <w:t xml:space="preserve">VI.4. </w:t>
      </w:r>
      <w:r w:rsidR="00F80BBF">
        <w:rPr>
          <w:b/>
          <w:sz w:val="24"/>
          <w:szCs w:val="24"/>
          <w:lang w:val="en-US"/>
        </w:rPr>
        <w:t>Station instruments and d</w:t>
      </w:r>
      <w:r w:rsidRPr="00F80BBF">
        <w:rPr>
          <w:b/>
          <w:sz w:val="24"/>
          <w:szCs w:val="24"/>
          <w:lang w:val="en-US"/>
        </w:rPr>
        <w:t>ata acquisition</w:t>
      </w:r>
    </w:p>
    <w:p w:rsidR="00BF5737" w:rsidRDefault="00BF5737" w:rsidP="00BF5737">
      <w:pPr>
        <w:keepNext/>
        <w:jc w:val="both"/>
      </w:pPr>
      <w:r w:rsidRPr="00BF5737">
        <w:rPr>
          <w:b/>
          <w:noProof/>
          <w:sz w:val="24"/>
          <w:szCs w:val="24"/>
          <w:lang w:eastAsia="it-IT"/>
        </w:rPr>
        <w:drawing>
          <wp:inline distT="0" distB="0" distL="0" distR="0">
            <wp:extent cx="4751070" cy="2796540"/>
            <wp:effectExtent l="19050" t="0" r="0" b="0"/>
            <wp:docPr id="67" name="Oggetto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670857" cy="4191000"/>
                      <a:chOff x="6321" y="1371600"/>
                      <a:chExt cx="7670857" cy="4191000"/>
                    </a:xfrm>
                  </a:grpSpPr>
                  <a:pic>
                    <a:nvPicPr>
                      <a:cNvPr id="18436" name="Picture 5" descr="Network.jpg"/>
                      <a:cNvPicPr>
                        <a:picLocks noChangeAspect="1"/>
                      </a:cNvPicPr>
                    </a:nvPicPr>
                    <a:blipFill>
                      <a:blip r:embed="rId62"/>
                      <a:stretch>
                        <a:fillRect/>
                      </a:stretch>
                    </a:blipFill>
                    <a:spPr bwMode="auto">
                      <a:xfrm>
                        <a:off x="6321" y="1371600"/>
                        <a:ext cx="7670857" cy="4191000"/>
                      </a:xfrm>
                      <a:prstGeom prst="rect">
                        <a:avLst/>
                      </a:prstGeom>
                      <a:noFill/>
                      <a:ln w="9525">
                        <a:noFill/>
                        <a:miter lim="800000"/>
                        <a:headEnd/>
                        <a:tailEnd/>
                      </a:ln>
                    </a:spPr>
                  </a:pic>
                  <a:sp>
                    <a:nvSpPr>
                      <a:cNvPr id="6" name="CasellaDiTesto 5"/>
                      <a:cNvSpPr txBox="1"/>
                    </a:nvSpPr>
                    <a:spPr>
                      <a:xfrm>
                        <a:off x="2895600" y="2819400"/>
                        <a:ext cx="1428596" cy="369332"/>
                      </a:xfrm>
                      <a:prstGeom prst="rect">
                        <a:avLst/>
                      </a:prstGeom>
                      <a:noFill/>
                    </a:spPr>
                    <a:txSp>
                      <a:txBody>
                        <a:bodyPr wrap="none" rtlCol="0">
                          <a:spAutoFit/>
                        </a:bodyPr>
                        <a:lstStyle>
                          <a:defPPr>
                            <a:defRPr lang="en-US"/>
                          </a:defPPr>
                          <a:lvl1pPr algn="l" rtl="0" eaLnBrk="0" fontAlgn="base" hangingPunct="0">
                            <a:spcBef>
                              <a:spcPct val="0"/>
                            </a:spcBef>
                            <a:spcAft>
                              <a:spcPct val="0"/>
                            </a:spcAft>
                            <a:defRPr kern="1200">
                              <a:solidFill>
                                <a:srgbClr val="003366"/>
                              </a:solidFill>
                              <a:latin typeface="Arial" charset="0"/>
                            </a:defRPr>
                          </a:lvl1pPr>
                          <a:lvl2pPr marL="457200" algn="l" rtl="0" eaLnBrk="0" fontAlgn="base" hangingPunct="0">
                            <a:spcBef>
                              <a:spcPct val="0"/>
                            </a:spcBef>
                            <a:spcAft>
                              <a:spcPct val="0"/>
                            </a:spcAft>
                            <a:defRPr kern="1200">
                              <a:solidFill>
                                <a:srgbClr val="003366"/>
                              </a:solidFill>
                              <a:latin typeface="Arial" charset="0"/>
                            </a:defRPr>
                          </a:lvl2pPr>
                          <a:lvl3pPr marL="914400" algn="l" rtl="0" eaLnBrk="0" fontAlgn="base" hangingPunct="0">
                            <a:spcBef>
                              <a:spcPct val="0"/>
                            </a:spcBef>
                            <a:spcAft>
                              <a:spcPct val="0"/>
                            </a:spcAft>
                            <a:defRPr kern="1200">
                              <a:solidFill>
                                <a:srgbClr val="003366"/>
                              </a:solidFill>
                              <a:latin typeface="Arial" charset="0"/>
                            </a:defRPr>
                          </a:lvl3pPr>
                          <a:lvl4pPr marL="1371600" algn="l" rtl="0" eaLnBrk="0" fontAlgn="base" hangingPunct="0">
                            <a:spcBef>
                              <a:spcPct val="0"/>
                            </a:spcBef>
                            <a:spcAft>
                              <a:spcPct val="0"/>
                            </a:spcAft>
                            <a:defRPr kern="1200">
                              <a:solidFill>
                                <a:srgbClr val="003366"/>
                              </a:solidFill>
                              <a:latin typeface="Arial" charset="0"/>
                            </a:defRPr>
                          </a:lvl4pPr>
                          <a:lvl5pPr marL="1828800" algn="l" rtl="0" eaLnBrk="0" fontAlgn="base" hangingPunct="0">
                            <a:spcBef>
                              <a:spcPct val="0"/>
                            </a:spcBef>
                            <a:spcAft>
                              <a:spcPct val="0"/>
                            </a:spcAft>
                            <a:defRPr kern="1200">
                              <a:solidFill>
                                <a:srgbClr val="003366"/>
                              </a:solidFill>
                              <a:latin typeface="Arial" charset="0"/>
                            </a:defRPr>
                          </a:lvl5pPr>
                          <a:lvl6pPr marL="2286000" algn="l" defTabSz="914400" rtl="0" eaLnBrk="1" latinLnBrk="0" hangingPunct="1">
                            <a:defRPr kern="1200">
                              <a:solidFill>
                                <a:srgbClr val="003366"/>
                              </a:solidFill>
                              <a:latin typeface="Arial" charset="0"/>
                            </a:defRPr>
                          </a:lvl6pPr>
                          <a:lvl7pPr marL="2743200" algn="l" defTabSz="914400" rtl="0" eaLnBrk="1" latinLnBrk="0" hangingPunct="1">
                            <a:defRPr kern="1200">
                              <a:solidFill>
                                <a:srgbClr val="003366"/>
                              </a:solidFill>
                              <a:latin typeface="Arial" charset="0"/>
                            </a:defRPr>
                          </a:lvl7pPr>
                          <a:lvl8pPr marL="3200400" algn="l" defTabSz="914400" rtl="0" eaLnBrk="1" latinLnBrk="0" hangingPunct="1">
                            <a:defRPr kern="1200">
                              <a:solidFill>
                                <a:srgbClr val="003366"/>
                              </a:solidFill>
                              <a:latin typeface="Arial" charset="0"/>
                            </a:defRPr>
                          </a:lvl8pPr>
                          <a:lvl9pPr marL="3657600" algn="l" defTabSz="914400" rtl="0" eaLnBrk="1" latinLnBrk="0" hangingPunct="1">
                            <a:defRPr kern="1200">
                              <a:solidFill>
                                <a:srgbClr val="003366"/>
                              </a:solidFill>
                              <a:latin typeface="Arial" charset="0"/>
                            </a:defRPr>
                          </a:lvl9pPr>
                        </a:lstStyle>
                        <a:p>
                          <a:r>
                            <a:rPr lang="it-IT" smtClean="0"/>
                            <a:t>300 &amp; 800 ft</a:t>
                          </a:r>
                          <a:endParaRPr lang="it-IT"/>
                        </a:p>
                      </a:txBody>
                      <a:useSpRect/>
                    </a:txSp>
                  </a:sp>
                  <a:sp>
                    <a:nvSpPr>
                      <a:cNvPr id="7" name="CasellaDiTesto 6"/>
                      <a:cNvSpPr txBox="1"/>
                    </a:nvSpPr>
                    <a:spPr>
                      <a:xfrm>
                        <a:off x="4495800" y="3733800"/>
                        <a:ext cx="889987" cy="369332"/>
                      </a:xfrm>
                      <a:prstGeom prst="rect">
                        <a:avLst/>
                      </a:prstGeom>
                      <a:noFill/>
                    </a:spPr>
                    <a:txSp>
                      <a:txBody>
                        <a:bodyPr wrap="none" rtlCol="0">
                          <a:spAutoFit/>
                        </a:bodyPr>
                        <a:lstStyle>
                          <a:defPPr>
                            <a:defRPr lang="en-US"/>
                          </a:defPPr>
                          <a:lvl1pPr algn="l" rtl="0" eaLnBrk="0" fontAlgn="base" hangingPunct="0">
                            <a:spcBef>
                              <a:spcPct val="0"/>
                            </a:spcBef>
                            <a:spcAft>
                              <a:spcPct val="0"/>
                            </a:spcAft>
                            <a:defRPr kern="1200">
                              <a:solidFill>
                                <a:srgbClr val="003366"/>
                              </a:solidFill>
                              <a:latin typeface="Arial" charset="0"/>
                            </a:defRPr>
                          </a:lvl1pPr>
                          <a:lvl2pPr marL="457200" algn="l" rtl="0" eaLnBrk="0" fontAlgn="base" hangingPunct="0">
                            <a:spcBef>
                              <a:spcPct val="0"/>
                            </a:spcBef>
                            <a:spcAft>
                              <a:spcPct val="0"/>
                            </a:spcAft>
                            <a:defRPr kern="1200">
                              <a:solidFill>
                                <a:srgbClr val="003366"/>
                              </a:solidFill>
                              <a:latin typeface="Arial" charset="0"/>
                            </a:defRPr>
                          </a:lvl2pPr>
                          <a:lvl3pPr marL="914400" algn="l" rtl="0" eaLnBrk="0" fontAlgn="base" hangingPunct="0">
                            <a:spcBef>
                              <a:spcPct val="0"/>
                            </a:spcBef>
                            <a:spcAft>
                              <a:spcPct val="0"/>
                            </a:spcAft>
                            <a:defRPr kern="1200">
                              <a:solidFill>
                                <a:srgbClr val="003366"/>
                              </a:solidFill>
                              <a:latin typeface="Arial" charset="0"/>
                            </a:defRPr>
                          </a:lvl3pPr>
                          <a:lvl4pPr marL="1371600" algn="l" rtl="0" eaLnBrk="0" fontAlgn="base" hangingPunct="0">
                            <a:spcBef>
                              <a:spcPct val="0"/>
                            </a:spcBef>
                            <a:spcAft>
                              <a:spcPct val="0"/>
                            </a:spcAft>
                            <a:defRPr kern="1200">
                              <a:solidFill>
                                <a:srgbClr val="003366"/>
                              </a:solidFill>
                              <a:latin typeface="Arial" charset="0"/>
                            </a:defRPr>
                          </a:lvl4pPr>
                          <a:lvl5pPr marL="1828800" algn="l" rtl="0" eaLnBrk="0" fontAlgn="base" hangingPunct="0">
                            <a:spcBef>
                              <a:spcPct val="0"/>
                            </a:spcBef>
                            <a:spcAft>
                              <a:spcPct val="0"/>
                            </a:spcAft>
                            <a:defRPr kern="1200">
                              <a:solidFill>
                                <a:srgbClr val="003366"/>
                              </a:solidFill>
                              <a:latin typeface="Arial" charset="0"/>
                            </a:defRPr>
                          </a:lvl5pPr>
                          <a:lvl6pPr marL="2286000" algn="l" defTabSz="914400" rtl="0" eaLnBrk="1" latinLnBrk="0" hangingPunct="1">
                            <a:defRPr kern="1200">
                              <a:solidFill>
                                <a:srgbClr val="003366"/>
                              </a:solidFill>
                              <a:latin typeface="Arial" charset="0"/>
                            </a:defRPr>
                          </a:lvl6pPr>
                          <a:lvl7pPr marL="2743200" algn="l" defTabSz="914400" rtl="0" eaLnBrk="1" latinLnBrk="0" hangingPunct="1">
                            <a:defRPr kern="1200">
                              <a:solidFill>
                                <a:srgbClr val="003366"/>
                              </a:solidFill>
                              <a:latin typeface="Arial" charset="0"/>
                            </a:defRPr>
                          </a:lvl7pPr>
                          <a:lvl8pPr marL="3200400" algn="l" defTabSz="914400" rtl="0" eaLnBrk="1" latinLnBrk="0" hangingPunct="1">
                            <a:defRPr kern="1200">
                              <a:solidFill>
                                <a:srgbClr val="003366"/>
                              </a:solidFill>
                              <a:latin typeface="Arial" charset="0"/>
                            </a:defRPr>
                          </a:lvl8pPr>
                          <a:lvl9pPr marL="3657600" algn="l" defTabSz="914400" rtl="0" eaLnBrk="1" latinLnBrk="0" hangingPunct="1">
                            <a:defRPr kern="1200">
                              <a:solidFill>
                                <a:srgbClr val="003366"/>
                              </a:solidFill>
                              <a:latin typeface="Arial" charset="0"/>
                            </a:defRPr>
                          </a:lvl9pPr>
                        </a:lstStyle>
                        <a:p>
                          <a:r>
                            <a:rPr lang="it-IT" smtClean="0"/>
                            <a:t>2000 ft</a:t>
                          </a:r>
                          <a:endParaRPr lang="it-IT"/>
                        </a:p>
                      </a:txBody>
                      <a:useSpRect/>
                    </a:txSp>
                  </a:sp>
                  <a:sp>
                    <a:nvSpPr>
                      <a:cNvPr id="8" name="CasellaDiTesto 7"/>
                      <a:cNvSpPr txBox="1"/>
                    </a:nvSpPr>
                    <a:spPr>
                      <a:xfrm>
                        <a:off x="6096000" y="4495800"/>
                        <a:ext cx="889987" cy="369332"/>
                      </a:xfrm>
                      <a:prstGeom prst="rect">
                        <a:avLst/>
                      </a:prstGeom>
                      <a:noFill/>
                    </a:spPr>
                    <a:txSp>
                      <a:txBody>
                        <a:bodyPr wrap="none" rtlCol="0">
                          <a:spAutoFit/>
                        </a:bodyPr>
                        <a:lstStyle>
                          <a:defPPr>
                            <a:defRPr lang="en-US"/>
                          </a:defPPr>
                          <a:lvl1pPr algn="l" rtl="0" eaLnBrk="0" fontAlgn="base" hangingPunct="0">
                            <a:spcBef>
                              <a:spcPct val="0"/>
                            </a:spcBef>
                            <a:spcAft>
                              <a:spcPct val="0"/>
                            </a:spcAft>
                            <a:defRPr kern="1200">
                              <a:solidFill>
                                <a:srgbClr val="003366"/>
                              </a:solidFill>
                              <a:latin typeface="Arial" charset="0"/>
                            </a:defRPr>
                          </a:lvl1pPr>
                          <a:lvl2pPr marL="457200" algn="l" rtl="0" eaLnBrk="0" fontAlgn="base" hangingPunct="0">
                            <a:spcBef>
                              <a:spcPct val="0"/>
                            </a:spcBef>
                            <a:spcAft>
                              <a:spcPct val="0"/>
                            </a:spcAft>
                            <a:defRPr kern="1200">
                              <a:solidFill>
                                <a:srgbClr val="003366"/>
                              </a:solidFill>
                              <a:latin typeface="Arial" charset="0"/>
                            </a:defRPr>
                          </a:lvl2pPr>
                          <a:lvl3pPr marL="914400" algn="l" rtl="0" eaLnBrk="0" fontAlgn="base" hangingPunct="0">
                            <a:spcBef>
                              <a:spcPct val="0"/>
                            </a:spcBef>
                            <a:spcAft>
                              <a:spcPct val="0"/>
                            </a:spcAft>
                            <a:defRPr kern="1200">
                              <a:solidFill>
                                <a:srgbClr val="003366"/>
                              </a:solidFill>
                              <a:latin typeface="Arial" charset="0"/>
                            </a:defRPr>
                          </a:lvl3pPr>
                          <a:lvl4pPr marL="1371600" algn="l" rtl="0" eaLnBrk="0" fontAlgn="base" hangingPunct="0">
                            <a:spcBef>
                              <a:spcPct val="0"/>
                            </a:spcBef>
                            <a:spcAft>
                              <a:spcPct val="0"/>
                            </a:spcAft>
                            <a:defRPr kern="1200">
                              <a:solidFill>
                                <a:srgbClr val="003366"/>
                              </a:solidFill>
                              <a:latin typeface="Arial" charset="0"/>
                            </a:defRPr>
                          </a:lvl4pPr>
                          <a:lvl5pPr marL="1828800" algn="l" rtl="0" eaLnBrk="0" fontAlgn="base" hangingPunct="0">
                            <a:spcBef>
                              <a:spcPct val="0"/>
                            </a:spcBef>
                            <a:spcAft>
                              <a:spcPct val="0"/>
                            </a:spcAft>
                            <a:defRPr kern="1200">
                              <a:solidFill>
                                <a:srgbClr val="003366"/>
                              </a:solidFill>
                              <a:latin typeface="Arial" charset="0"/>
                            </a:defRPr>
                          </a:lvl5pPr>
                          <a:lvl6pPr marL="2286000" algn="l" defTabSz="914400" rtl="0" eaLnBrk="1" latinLnBrk="0" hangingPunct="1">
                            <a:defRPr kern="1200">
                              <a:solidFill>
                                <a:srgbClr val="003366"/>
                              </a:solidFill>
                              <a:latin typeface="Arial" charset="0"/>
                            </a:defRPr>
                          </a:lvl6pPr>
                          <a:lvl7pPr marL="2743200" algn="l" defTabSz="914400" rtl="0" eaLnBrk="1" latinLnBrk="0" hangingPunct="1">
                            <a:defRPr kern="1200">
                              <a:solidFill>
                                <a:srgbClr val="003366"/>
                              </a:solidFill>
                              <a:latin typeface="Arial" charset="0"/>
                            </a:defRPr>
                          </a:lvl7pPr>
                          <a:lvl8pPr marL="3200400" algn="l" defTabSz="914400" rtl="0" eaLnBrk="1" latinLnBrk="0" hangingPunct="1">
                            <a:defRPr kern="1200">
                              <a:solidFill>
                                <a:srgbClr val="003366"/>
                              </a:solidFill>
                              <a:latin typeface="Arial" charset="0"/>
                            </a:defRPr>
                          </a:lvl8pPr>
                          <a:lvl9pPr marL="3657600" algn="l" defTabSz="914400" rtl="0" eaLnBrk="1" latinLnBrk="0" hangingPunct="1">
                            <a:defRPr kern="1200">
                              <a:solidFill>
                                <a:srgbClr val="003366"/>
                              </a:solidFill>
                              <a:latin typeface="Arial" charset="0"/>
                            </a:defRPr>
                          </a:lvl9pPr>
                        </a:lstStyle>
                        <a:p>
                          <a:r>
                            <a:rPr lang="it-IT" smtClean="0"/>
                            <a:t>4100 ft</a:t>
                          </a:r>
                          <a:endParaRPr lang="it-IT"/>
                        </a:p>
                      </a:txBody>
                      <a:useSpRect/>
                    </a:txSp>
                  </a:sp>
                  <a:cxnSp>
                    <a:nvCxnSpPr>
                      <a:cNvPr id="13" name="Connettore 2 12"/>
                      <a:cNvCxnSpPr/>
                    </a:nvCxnSpPr>
                    <a:spPr bwMode="auto">
                      <a:xfrm rot="5400000">
                        <a:off x="4610100" y="3086100"/>
                        <a:ext cx="1828800" cy="685800"/>
                      </a:xfrm>
                      <a:prstGeom prst="straightConnector1">
                        <a:avLst/>
                      </a:prstGeom>
                      <a:solidFill>
                        <a:srgbClr val="33CCCC"/>
                      </a:solidFill>
                      <a:ln w="38100" cap="flat" cmpd="sng" algn="ctr">
                        <a:solidFill>
                          <a:srgbClr val="003366">
                            <a:lumMod val="75000"/>
                          </a:srgbClr>
                        </a:solidFill>
                        <a:prstDash val="solid"/>
                        <a:round/>
                        <a:headEnd type="none" w="med" len="med"/>
                        <a:tailEnd type="arrow"/>
                      </a:ln>
                      <a:effectLst/>
                    </a:spPr>
                  </a:cxnSp>
                  <a:cxnSp>
                    <a:nvCxnSpPr>
                      <a:cNvPr id="15" name="Connettore 2 14"/>
                      <a:cNvCxnSpPr/>
                    </a:nvCxnSpPr>
                    <a:spPr bwMode="auto">
                      <a:xfrm rot="16200000" flipH="1">
                        <a:off x="5676900" y="2781300"/>
                        <a:ext cx="1066800" cy="533400"/>
                      </a:xfrm>
                      <a:prstGeom prst="straightConnector1">
                        <a:avLst/>
                      </a:prstGeom>
                      <a:solidFill>
                        <a:srgbClr val="33CCCC"/>
                      </a:solidFill>
                      <a:ln w="38100" cap="flat" cmpd="sng" algn="ctr">
                        <a:solidFill>
                          <a:srgbClr val="003366">
                            <a:lumMod val="75000"/>
                          </a:srgbClr>
                        </a:solidFill>
                        <a:prstDash val="solid"/>
                        <a:round/>
                        <a:headEnd type="none" w="med" len="med"/>
                        <a:tailEnd type="arrow"/>
                      </a:ln>
                      <a:effectLst/>
                    </a:spPr>
                  </a:cxnSp>
                  <a:cxnSp>
                    <a:nvCxnSpPr>
                      <a:cNvPr id="17" name="Connettore 2 16"/>
                      <a:cNvCxnSpPr/>
                    </a:nvCxnSpPr>
                    <a:spPr bwMode="auto">
                      <a:xfrm rot="5400000" flipH="1" flipV="1">
                        <a:off x="5029200" y="3352800"/>
                        <a:ext cx="2057400" cy="990600"/>
                      </a:xfrm>
                      <a:prstGeom prst="straightConnector1">
                        <a:avLst/>
                      </a:prstGeom>
                      <a:solidFill>
                        <a:srgbClr val="33CCCC"/>
                      </a:solidFill>
                      <a:ln w="38100" cap="flat" cmpd="sng" algn="ctr">
                        <a:solidFill>
                          <a:srgbClr val="99CC99">
                            <a:lumMod val="50000"/>
                          </a:srgbClr>
                        </a:solidFill>
                        <a:prstDash val="solid"/>
                        <a:round/>
                        <a:headEnd type="none" w="med" len="med"/>
                        <a:tailEnd type="arrow"/>
                      </a:ln>
                      <a:effectLst/>
                    </a:spPr>
                  </a:cxnSp>
                  <a:cxnSp>
                    <a:nvCxnSpPr>
                      <a:cNvPr id="19" name="Connettore 2 18"/>
                      <a:cNvCxnSpPr/>
                    </a:nvCxnSpPr>
                    <a:spPr bwMode="auto">
                      <a:xfrm rot="16200000" flipV="1">
                        <a:off x="6324600" y="3429000"/>
                        <a:ext cx="1371600" cy="152400"/>
                      </a:xfrm>
                      <a:prstGeom prst="straightConnector1">
                        <a:avLst/>
                      </a:prstGeom>
                      <a:solidFill>
                        <a:srgbClr val="33CCCC"/>
                      </a:solidFill>
                      <a:ln w="38100" cap="flat" cmpd="sng" algn="ctr">
                        <a:solidFill>
                          <a:srgbClr val="99CC99">
                            <a:lumMod val="50000"/>
                          </a:srgbClr>
                        </a:solidFill>
                        <a:prstDash val="solid"/>
                        <a:round/>
                        <a:headEnd type="none" w="med" len="med"/>
                        <a:tailEnd type="arrow"/>
                      </a:ln>
                      <a:effectLst/>
                    </a:spPr>
                  </a:cxnSp>
                </lc:lockedCanvas>
              </a:graphicData>
            </a:graphic>
          </wp:inline>
        </w:drawing>
      </w:r>
    </w:p>
    <w:p w:rsidR="00E30DD4" w:rsidRPr="00BF5737" w:rsidRDefault="00BF5737" w:rsidP="00BF5737">
      <w:pPr>
        <w:pStyle w:val="Didascalia"/>
        <w:jc w:val="both"/>
        <w:rPr>
          <w:b w:val="0"/>
          <w:color w:val="1F497D" w:themeColor="text2"/>
          <w:sz w:val="24"/>
          <w:szCs w:val="24"/>
          <w:lang w:val="en-US"/>
        </w:rPr>
      </w:pPr>
      <w:r w:rsidRPr="00BF5737">
        <w:rPr>
          <w:color w:val="1F497D" w:themeColor="text2"/>
          <w:lang w:val="en-US"/>
        </w:rPr>
        <w:t>Figure 54: Sketch of the remote-access scheme and data acquisition. The system can be controlled remotely via the remote-desktop function. External users have to log into the surface PC. A second remote desktop can then be started on this machine to take control over the underground PCs. Data access is provided by a simple ftp server. A scheduled task copies data every 20min from the underground stations to the ftp folder of the surface PC. A second scheduled task calls Matlab functions to down-sample some of the channels, before a virtual machine with Linux guest system retrieves the data (which is in ASCII format) and converts it into LIGO frames</w:t>
      </w:r>
      <w:sdt>
        <w:sdtPr>
          <w:rPr>
            <w:color w:val="1F497D" w:themeColor="text2"/>
            <w:lang w:val="en-US"/>
          </w:rPr>
          <w:id w:val="5941641"/>
          <w:citation/>
        </w:sdtPr>
        <w:sdtEndPr>
          <w:rPr>
            <w:vertAlign w:val="superscript"/>
          </w:rPr>
        </w:sdtEndPr>
        <w:sdtContent>
          <w:r w:rsidR="009B29F4" w:rsidRPr="00BF5737">
            <w:rPr>
              <w:color w:val="1F497D" w:themeColor="text2"/>
              <w:vertAlign w:val="superscript"/>
              <w:lang w:val="en-US"/>
            </w:rPr>
            <w:fldChar w:fldCharType="begin"/>
          </w:r>
          <w:r w:rsidRPr="00BF5737">
            <w:rPr>
              <w:color w:val="1F497D" w:themeColor="text2"/>
              <w:vertAlign w:val="superscript"/>
              <w:lang w:val="en-US"/>
            </w:rPr>
            <w:instrText xml:space="preserve"> CITATION JHa09 \l 1040 </w:instrText>
          </w:r>
          <w:r w:rsidR="009B29F4" w:rsidRPr="00BF5737">
            <w:rPr>
              <w:color w:val="1F497D" w:themeColor="text2"/>
              <w:vertAlign w:val="superscript"/>
              <w:lang w:val="en-US"/>
            </w:rPr>
            <w:fldChar w:fldCharType="separate"/>
          </w:r>
          <w:r w:rsidRPr="00BF5737">
            <w:rPr>
              <w:noProof/>
              <w:color w:val="1F497D" w:themeColor="text2"/>
              <w:vertAlign w:val="superscript"/>
              <w:lang w:val="en-US"/>
            </w:rPr>
            <w:t xml:space="preserve"> (2)</w:t>
          </w:r>
          <w:r w:rsidR="009B29F4" w:rsidRPr="00BF5737">
            <w:rPr>
              <w:color w:val="1F497D" w:themeColor="text2"/>
              <w:vertAlign w:val="superscript"/>
              <w:lang w:val="en-US"/>
            </w:rPr>
            <w:fldChar w:fldCharType="end"/>
          </w:r>
        </w:sdtContent>
      </w:sdt>
      <w:r w:rsidRPr="00BF5737">
        <w:rPr>
          <w:color w:val="1F497D" w:themeColor="text2"/>
          <w:lang w:val="en-US"/>
        </w:rPr>
        <w:t>.</w:t>
      </w:r>
    </w:p>
    <w:p w:rsidR="00E30DD4" w:rsidRPr="00BF5737" w:rsidRDefault="00E30DD4" w:rsidP="00126257">
      <w:pPr>
        <w:jc w:val="both"/>
        <w:rPr>
          <w:b/>
          <w:sz w:val="24"/>
          <w:szCs w:val="24"/>
          <w:lang w:val="en-US"/>
        </w:rPr>
      </w:pPr>
    </w:p>
    <w:p w:rsidR="003F2FAE" w:rsidRDefault="00BF5737" w:rsidP="00DA1481">
      <w:pPr>
        <w:jc w:val="both"/>
        <w:rPr>
          <w:lang w:val="en-US"/>
        </w:rPr>
      </w:pPr>
      <w:r>
        <w:rPr>
          <w:lang w:val="en-US"/>
        </w:rPr>
        <w:t xml:space="preserve">As </w:t>
      </w:r>
      <w:r w:rsidR="00AC4BC6">
        <w:rPr>
          <w:lang w:val="en-US"/>
        </w:rPr>
        <w:t>discussed</w:t>
      </w:r>
      <w:r w:rsidR="00292FDD">
        <w:rPr>
          <w:lang w:val="en-US"/>
        </w:rPr>
        <w:t xml:space="preserve"> above</w:t>
      </w:r>
      <w:r>
        <w:rPr>
          <w:lang w:val="en-US"/>
        </w:rPr>
        <w:t xml:space="preserve">, each </w:t>
      </w:r>
      <w:r w:rsidRPr="00BF5737">
        <w:rPr>
          <w:lang w:val="en-US"/>
        </w:rPr>
        <w:t>station is</w:t>
      </w:r>
      <w:r>
        <w:rPr>
          <w:lang w:val="en-US"/>
        </w:rPr>
        <w:t xml:space="preserve"> </w:t>
      </w:r>
      <w:r w:rsidR="002E26C4">
        <w:rPr>
          <w:lang w:val="en-US"/>
        </w:rPr>
        <w:t>built</w:t>
      </w:r>
      <w:r>
        <w:rPr>
          <w:lang w:val="en-US"/>
        </w:rPr>
        <w:t xml:space="preserve"> with a computer hut containing the acquisition and power instruments: DC power supply, UPS unit, </w:t>
      </w:r>
      <w:r w:rsidR="005061B5">
        <w:rPr>
          <w:lang w:val="en-US"/>
        </w:rPr>
        <w:t xml:space="preserve">DELL </w:t>
      </w:r>
      <w:r>
        <w:rPr>
          <w:lang w:val="en-US"/>
        </w:rPr>
        <w:t>computer</w:t>
      </w:r>
      <w:r w:rsidR="005061B5">
        <w:rPr>
          <w:lang w:val="en-US"/>
        </w:rPr>
        <w:t xml:space="preserve"> with Windows XP or</w:t>
      </w:r>
      <w:r w:rsidR="002E26C4">
        <w:rPr>
          <w:lang w:val="en-US"/>
        </w:rPr>
        <w:t xml:space="preserve"> Windows</w:t>
      </w:r>
      <w:r w:rsidR="005061B5">
        <w:rPr>
          <w:lang w:val="en-US"/>
        </w:rPr>
        <w:t xml:space="preserve"> Vista O.S.</w:t>
      </w:r>
      <w:r>
        <w:rPr>
          <w:lang w:val="en-US"/>
        </w:rPr>
        <w:t xml:space="preserve">, signal amplifier and DAQ card. </w:t>
      </w:r>
      <w:r w:rsidRPr="00BF5737">
        <w:rPr>
          <w:lang w:val="en-US"/>
        </w:rPr>
        <w:t>The acquisition starts with</w:t>
      </w:r>
      <w:r>
        <w:rPr>
          <w:lang w:val="en-US"/>
        </w:rPr>
        <w:t xml:space="preserve"> the PCI 6289 card from National Instruments containing an 18 bit ADC and an internal amplifier</w:t>
      </w:r>
      <w:r w:rsidR="00DA1481">
        <w:rPr>
          <w:lang w:val="en-US"/>
        </w:rPr>
        <w:t>,</w:t>
      </w:r>
      <w:r w:rsidR="00DA1481" w:rsidRPr="00DA1481">
        <w:rPr>
          <w:lang w:val="en-US"/>
        </w:rPr>
        <w:t xml:space="preserve"> its nominal resolution is 80.1 μV assuming</w:t>
      </w:r>
      <w:r w:rsidR="00DA1481">
        <w:rPr>
          <w:lang w:val="en-US"/>
        </w:rPr>
        <w:t xml:space="preserve"> </w:t>
      </w:r>
      <w:r w:rsidR="00DA1481" w:rsidRPr="00DA1481">
        <w:rPr>
          <w:lang w:val="en-US"/>
        </w:rPr>
        <w:t>5% over range and its highest resolution 0.8 μV</w:t>
      </w:r>
      <w:r w:rsidR="00AC4BC6">
        <w:rPr>
          <w:lang w:val="en-US"/>
        </w:rPr>
        <w:t xml:space="preserve"> at maximum gain</w:t>
      </w:r>
      <w:r w:rsidR="00DA1481" w:rsidRPr="00DA1481">
        <w:rPr>
          <w:lang w:val="en-US"/>
        </w:rPr>
        <w:t>.</w:t>
      </w:r>
      <w:sdt>
        <w:sdtPr>
          <w:rPr>
            <w:lang w:val="en-US"/>
          </w:rPr>
          <w:id w:val="5941642"/>
          <w:citation/>
        </w:sdtPr>
        <w:sdtEndPr>
          <w:rPr>
            <w:vertAlign w:val="superscript"/>
          </w:rPr>
        </w:sdtEndPr>
        <w:sdtContent>
          <w:r w:rsidR="009B29F4" w:rsidRPr="00DA1481">
            <w:rPr>
              <w:vertAlign w:val="superscript"/>
              <w:lang w:val="en-US"/>
            </w:rPr>
            <w:fldChar w:fldCharType="begin"/>
          </w:r>
          <w:r w:rsidR="00DA1481" w:rsidRPr="00DA1481">
            <w:rPr>
              <w:vertAlign w:val="superscript"/>
              <w:lang w:val="en-US"/>
            </w:rPr>
            <w:instrText xml:space="preserve"> CITATION JHa09 \l 1040 </w:instrText>
          </w:r>
          <w:r w:rsidR="009B29F4" w:rsidRPr="00DA1481">
            <w:rPr>
              <w:vertAlign w:val="superscript"/>
              <w:lang w:val="en-US"/>
            </w:rPr>
            <w:fldChar w:fldCharType="separate"/>
          </w:r>
          <w:r w:rsidR="00DA1481" w:rsidRPr="00DA1481">
            <w:rPr>
              <w:noProof/>
              <w:vertAlign w:val="superscript"/>
              <w:lang w:val="en-US"/>
            </w:rPr>
            <w:t xml:space="preserve"> (2)</w:t>
          </w:r>
          <w:r w:rsidR="009B29F4" w:rsidRPr="00DA1481">
            <w:rPr>
              <w:vertAlign w:val="superscript"/>
              <w:lang w:val="en-US"/>
            </w:rPr>
            <w:fldChar w:fldCharType="end"/>
          </w:r>
        </w:sdtContent>
      </w:sdt>
      <w:r w:rsidR="00AC4BC6">
        <w:rPr>
          <w:lang w:val="en-US"/>
        </w:rPr>
        <w:t>. The connectors</w:t>
      </w:r>
      <w:r w:rsidR="00DA1481">
        <w:rPr>
          <w:lang w:val="en-US"/>
        </w:rPr>
        <w:t xml:space="preserve"> are two 68-pin VHDCI supporting 32 analog inputs. </w:t>
      </w:r>
      <w:r w:rsidR="00AC4BC6">
        <w:rPr>
          <w:lang w:val="en-US"/>
        </w:rPr>
        <w:t>The d</w:t>
      </w:r>
      <w:r w:rsidR="00DA1481" w:rsidRPr="00DA1481">
        <w:rPr>
          <w:lang w:val="en-US"/>
        </w:rPr>
        <w:t>ata acquisition is managed by LabVIEW</w:t>
      </w:r>
      <w:r w:rsidR="00DA1481">
        <w:rPr>
          <w:lang w:val="en-US"/>
        </w:rPr>
        <w:t xml:space="preserve"> based</w:t>
      </w:r>
      <w:r w:rsidR="00DA1481" w:rsidRPr="00DA1481">
        <w:rPr>
          <w:lang w:val="en-US"/>
        </w:rPr>
        <w:t xml:space="preserve"> programs</w:t>
      </w:r>
      <w:r w:rsidR="00AD1E81">
        <w:rPr>
          <w:lang w:val="en-US"/>
        </w:rPr>
        <w:t xml:space="preserve"> (</w:t>
      </w:r>
      <w:r w:rsidR="00AD1E81" w:rsidRPr="00AD1E81">
        <w:rPr>
          <w:i/>
          <w:lang w:val="en-US"/>
        </w:rPr>
        <w:t>figure 55</w:t>
      </w:r>
      <w:r w:rsidR="00AD1E81">
        <w:rPr>
          <w:lang w:val="en-US"/>
        </w:rPr>
        <w:t>)</w:t>
      </w:r>
      <w:r w:rsidR="00DA1481" w:rsidRPr="00DA1481">
        <w:rPr>
          <w:lang w:val="en-US"/>
        </w:rPr>
        <w:t xml:space="preserve"> which also generate</w:t>
      </w:r>
      <w:r w:rsidR="00AC4BC6">
        <w:rPr>
          <w:lang w:val="en-US"/>
        </w:rPr>
        <w:t>s</w:t>
      </w:r>
      <w:r w:rsidR="00DA1481" w:rsidRPr="00DA1481">
        <w:rPr>
          <w:lang w:val="en-US"/>
        </w:rPr>
        <w:t xml:space="preserve"> analog-output</w:t>
      </w:r>
      <w:r w:rsidR="00DA1481">
        <w:rPr>
          <w:lang w:val="en-US"/>
        </w:rPr>
        <w:t xml:space="preserve"> </w:t>
      </w:r>
      <w:r w:rsidR="00DA1481" w:rsidRPr="00DA1481">
        <w:rPr>
          <w:lang w:val="en-US"/>
        </w:rPr>
        <w:t>signals to initiate mass-centering procedures of seismometers if necessary. The data is first stored</w:t>
      </w:r>
      <w:r w:rsidR="00DA1481">
        <w:rPr>
          <w:lang w:val="en-US"/>
        </w:rPr>
        <w:t xml:space="preserve"> </w:t>
      </w:r>
      <w:r w:rsidR="00DA1481" w:rsidRPr="00DA1481">
        <w:rPr>
          <w:lang w:val="en-US"/>
        </w:rPr>
        <w:t>in ASCII files as</w:t>
      </w:r>
      <w:r w:rsidR="00DA1481">
        <w:rPr>
          <w:lang w:val="en-US"/>
        </w:rPr>
        <w:t xml:space="preserve"> 128 s records sampled at 1</w:t>
      </w:r>
      <w:r w:rsidR="00292FDD">
        <w:rPr>
          <w:lang w:val="en-US"/>
        </w:rPr>
        <w:t>28</w:t>
      </w:r>
      <w:r w:rsidR="00DA1481">
        <w:rPr>
          <w:lang w:val="en-US"/>
        </w:rPr>
        <w:t xml:space="preserve">Hz and then is </w:t>
      </w:r>
      <w:r w:rsidR="00DA1481" w:rsidRPr="00DA1481">
        <w:rPr>
          <w:lang w:val="en-US"/>
        </w:rPr>
        <w:t>downsampled (except</w:t>
      </w:r>
      <w:r w:rsidR="00DA1481">
        <w:rPr>
          <w:lang w:val="en-US"/>
        </w:rPr>
        <w:t xml:space="preserve"> </w:t>
      </w:r>
      <w:r w:rsidR="00DA1481" w:rsidRPr="00DA1481">
        <w:rPr>
          <w:lang w:val="en-US"/>
        </w:rPr>
        <w:t>f</w:t>
      </w:r>
      <w:r w:rsidR="00DA1481">
        <w:rPr>
          <w:lang w:val="en-US"/>
        </w:rPr>
        <w:t>or the seismic channel</w:t>
      </w:r>
      <w:r w:rsidR="00DA1481" w:rsidRPr="00DA1481">
        <w:rPr>
          <w:lang w:val="en-US"/>
        </w:rPr>
        <w:t>) and converted into LIGO</w:t>
      </w:r>
      <w:r w:rsidR="00AC4BC6">
        <w:rPr>
          <w:lang w:val="en-US"/>
        </w:rPr>
        <w:t xml:space="preserve"> standard</w:t>
      </w:r>
      <w:r w:rsidR="00DA1481" w:rsidRPr="00DA1481">
        <w:rPr>
          <w:lang w:val="en-US"/>
        </w:rPr>
        <w:t xml:space="preserve"> frames.</w:t>
      </w:r>
      <w:r w:rsidR="00DA1481">
        <w:rPr>
          <w:lang w:val="en-US"/>
        </w:rPr>
        <w:t xml:space="preserve"> </w:t>
      </w:r>
    </w:p>
    <w:p w:rsidR="00AD1E81" w:rsidRDefault="00AD1E81" w:rsidP="00AD1E81">
      <w:pPr>
        <w:keepNext/>
        <w:jc w:val="center"/>
      </w:pPr>
      <w:r w:rsidRPr="00AD1E81">
        <w:rPr>
          <w:noProof/>
          <w:lang w:eastAsia="it-IT"/>
        </w:rPr>
        <w:drawing>
          <wp:inline distT="0" distB="0" distL="0" distR="0">
            <wp:extent cx="4377690" cy="4278385"/>
            <wp:effectExtent l="19050" t="0" r="3810" b="0"/>
            <wp:docPr id="70"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6"/>
                    <pic:cNvPicPr>
                      <a:picLocks noChangeAspect="1" noChangeArrowheads="1"/>
                    </pic:cNvPicPr>
                  </pic:nvPicPr>
                  <pic:blipFill>
                    <a:blip r:embed="rId63"/>
                    <a:srcRect/>
                    <a:stretch>
                      <a:fillRect/>
                    </a:stretch>
                  </pic:blipFill>
                  <pic:spPr bwMode="auto">
                    <a:xfrm>
                      <a:off x="0" y="0"/>
                      <a:ext cx="4379384" cy="4280041"/>
                    </a:xfrm>
                    <a:prstGeom prst="rect">
                      <a:avLst/>
                    </a:prstGeom>
                    <a:noFill/>
                    <a:ln w="9525">
                      <a:noFill/>
                      <a:miter lim="800000"/>
                      <a:headEnd/>
                      <a:tailEnd/>
                    </a:ln>
                  </pic:spPr>
                </pic:pic>
              </a:graphicData>
            </a:graphic>
          </wp:inline>
        </w:drawing>
      </w:r>
    </w:p>
    <w:p w:rsidR="003F2FAE" w:rsidRPr="00AD1E81" w:rsidRDefault="00AD1E81" w:rsidP="00AD1E81">
      <w:pPr>
        <w:pStyle w:val="Didascalia"/>
        <w:jc w:val="center"/>
        <w:rPr>
          <w:color w:val="1F497D" w:themeColor="text2"/>
          <w:lang w:val="en-US"/>
        </w:rPr>
      </w:pPr>
      <w:r w:rsidRPr="00AD1E81">
        <w:rPr>
          <w:color w:val="1F497D" w:themeColor="text2"/>
          <w:lang w:val="en-US"/>
        </w:rPr>
        <w:t>Figure 55: LABview data handling and visualization</w:t>
      </w:r>
    </w:p>
    <w:p w:rsidR="00996186" w:rsidRDefault="00234AAD" w:rsidP="00DA1481">
      <w:pPr>
        <w:jc w:val="both"/>
        <w:rPr>
          <w:lang w:val="en-US"/>
        </w:rPr>
      </w:pPr>
      <w:r>
        <w:rPr>
          <w:lang w:val="en-US"/>
        </w:rPr>
        <w:t xml:space="preserve">The data can be </w:t>
      </w:r>
      <w:r w:rsidR="00292FDD">
        <w:rPr>
          <w:lang w:val="en-US"/>
        </w:rPr>
        <w:t>accessed</w:t>
      </w:r>
      <w:r>
        <w:rPr>
          <w:lang w:val="en-US"/>
        </w:rPr>
        <w:t xml:space="preserve"> from internet running an FTP server. </w:t>
      </w:r>
      <w:r w:rsidRPr="00234AAD">
        <w:rPr>
          <w:lang w:val="en-US"/>
        </w:rPr>
        <w:t>A DHCP server reserves an ad</w:t>
      </w:r>
      <w:r w:rsidR="00AD1E81">
        <w:rPr>
          <w:lang w:val="en-US"/>
        </w:rPr>
        <w:t>d</w:t>
      </w:r>
      <w:r w:rsidRPr="00234AAD">
        <w:rPr>
          <w:lang w:val="en-US"/>
        </w:rPr>
        <w:t>ress range for static IPs</w:t>
      </w:r>
      <w:r w:rsidR="003369BE">
        <w:rPr>
          <w:rStyle w:val="Rimandonotaapidipagina"/>
          <w:lang w:val="en-US"/>
        </w:rPr>
        <w:footnoteReference w:id="4"/>
      </w:r>
      <w:r w:rsidRPr="00234AAD">
        <w:rPr>
          <w:lang w:val="en-US"/>
        </w:rPr>
        <w:t>.</w:t>
      </w:r>
      <w:r>
        <w:rPr>
          <w:lang w:val="en-US"/>
        </w:rPr>
        <w:t xml:space="preserve"> External requests through an ftp port are forwarded to the IP of the FTP server</w:t>
      </w:r>
      <w:r w:rsidR="003F2FAE">
        <w:rPr>
          <w:lang w:val="en-US"/>
        </w:rPr>
        <w:t>; a second port is configured to forward remote desktop access to the same PC which is the surface PC.</w:t>
      </w:r>
      <w:r>
        <w:rPr>
          <w:lang w:val="en-US"/>
        </w:rPr>
        <w:t xml:space="preserve"> </w:t>
      </w:r>
      <w:r w:rsidRPr="00234AAD">
        <w:rPr>
          <w:lang w:val="en-US"/>
        </w:rPr>
        <w:t xml:space="preserve"> </w:t>
      </w:r>
      <w:r w:rsidR="003F2FAE" w:rsidRPr="003F2FAE">
        <w:rPr>
          <w:lang w:val="en-US"/>
        </w:rPr>
        <w:t>When logged onto this machine it is possible to use LAN-internal</w:t>
      </w:r>
      <w:r w:rsidR="003F2FAE">
        <w:rPr>
          <w:lang w:val="en-US"/>
        </w:rPr>
        <w:t xml:space="preserve"> remote access to control the underground stations connected to the network: one can start or stop DAQ and copy the data to the FTP server. As </w:t>
      </w:r>
      <w:r w:rsidR="00AC4BC6" w:rsidRPr="00AC4BC6">
        <w:rPr>
          <w:lang w:val="en-US"/>
        </w:rPr>
        <w:t>already mentioned</w:t>
      </w:r>
      <w:r w:rsidR="00AC4BC6">
        <w:rPr>
          <w:lang w:val="en-US"/>
        </w:rPr>
        <w:t xml:space="preserve"> </w:t>
      </w:r>
      <w:r w:rsidR="003F2FAE">
        <w:rPr>
          <w:lang w:val="en-US"/>
        </w:rPr>
        <w:t xml:space="preserve">underground levels are connected to the web via optical cables. </w:t>
      </w:r>
      <w:r w:rsidR="00AC4BC6">
        <w:rPr>
          <w:lang w:val="en-US"/>
        </w:rPr>
        <w:t>Simple</w:t>
      </w:r>
      <w:r w:rsidR="003F2FAE">
        <w:rPr>
          <w:lang w:val="en-US"/>
        </w:rPr>
        <w:t xml:space="preserve"> NTP demons</w:t>
      </w:r>
      <w:r w:rsidR="00392A39">
        <w:rPr>
          <w:rStyle w:val="Rimandonotaapidipagina"/>
          <w:lang w:val="en-US"/>
        </w:rPr>
        <w:footnoteReference w:id="5"/>
      </w:r>
      <w:r w:rsidR="003F2FAE">
        <w:rPr>
          <w:lang w:val="en-US"/>
        </w:rPr>
        <w:t xml:space="preserve"> are installed on all m</w:t>
      </w:r>
      <w:r w:rsidR="005061B5">
        <w:rPr>
          <w:lang w:val="en-US"/>
        </w:rPr>
        <w:t>achines; the absolute timing proved to be too poor for long time correlation measurements due to time drifts between DAQ</w:t>
      </w:r>
      <w:r w:rsidR="00AD1E81">
        <w:rPr>
          <w:lang w:val="en-US"/>
        </w:rPr>
        <w:t>s</w:t>
      </w:r>
      <w:r w:rsidR="005061B5">
        <w:rPr>
          <w:lang w:val="en-US"/>
        </w:rPr>
        <w:t xml:space="preserve"> and PC</w:t>
      </w:r>
      <w:r w:rsidR="00AD1E81">
        <w:rPr>
          <w:lang w:val="en-US"/>
        </w:rPr>
        <w:t>s</w:t>
      </w:r>
      <w:r w:rsidR="005061B5">
        <w:rPr>
          <w:lang w:val="en-US"/>
        </w:rPr>
        <w:t xml:space="preserve"> timing. For short time correlation measurements </w:t>
      </w:r>
      <w:r w:rsidR="005061B5">
        <w:rPr>
          <w:lang w:val="en-US"/>
        </w:rPr>
        <w:lastRenderedPageBreak/>
        <w:t>the temporal coherence can be maximized with a time shift</w:t>
      </w:r>
      <w:r w:rsidR="002E26C4">
        <w:rPr>
          <w:lang w:val="en-US"/>
        </w:rPr>
        <w:t xml:space="preserve"> technique</w:t>
      </w:r>
      <w:r w:rsidR="005061B5">
        <w:rPr>
          <w:lang w:val="en-US"/>
        </w:rPr>
        <w:t xml:space="preserve"> (</w:t>
      </w:r>
      <w:r w:rsidR="005061B5" w:rsidRPr="005061B5">
        <w:rPr>
          <w:i/>
          <w:lang w:val="en-US"/>
        </w:rPr>
        <w:t>figure 56</w:t>
      </w:r>
      <w:r w:rsidR="005061B5">
        <w:rPr>
          <w:lang w:val="en-US"/>
        </w:rPr>
        <w:t>)</w:t>
      </w:r>
      <w:r w:rsidR="00E8537A">
        <w:rPr>
          <w:lang w:val="en-US"/>
        </w:rPr>
        <w:t xml:space="preserve">; a new </w:t>
      </w:r>
      <w:r w:rsidR="00AD1E81">
        <w:rPr>
          <w:lang w:val="en-US"/>
        </w:rPr>
        <w:t>and more accurate</w:t>
      </w:r>
      <w:r w:rsidR="00E8537A">
        <w:rPr>
          <w:lang w:val="en-US"/>
        </w:rPr>
        <w:t xml:space="preserve"> </w:t>
      </w:r>
      <w:r w:rsidR="005B750C">
        <w:rPr>
          <w:lang w:val="en-US"/>
        </w:rPr>
        <w:t>optical distributed timing system will be implemented</w:t>
      </w:r>
      <w:r w:rsidR="002E26C4">
        <w:rPr>
          <w:lang w:val="en-US"/>
        </w:rPr>
        <w:t xml:space="preserve"> in the next future</w:t>
      </w:r>
      <w:r w:rsidR="00E8537A">
        <w:rPr>
          <w:lang w:val="en-US"/>
        </w:rPr>
        <w:t>.</w:t>
      </w:r>
      <w:r w:rsidR="000D2E37">
        <w:rPr>
          <w:lang w:val="en-US"/>
        </w:rPr>
        <w:t xml:space="preserve"> We found the best spectral coherence between two stations</w:t>
      </w:r>
      <w:r w:rsidR="00AD1E81">
        <w:rPr>
          <w:lang w:val="en-US"/>
        </w:rPr>
        <w:t xml:space="preserve"> A and B</w:t>
      </w:r>
      <w:r w:rsidR="000D2E37">
        <w:rPr>
          <w:lang w:val="en-US"/>
        </w:rPr>
        <w:t xml:space="preserve"> at 2000ft in the range from</w:t>
      </w:r>
      <w:r w:rsidR="005061B5">
        <w:rPr>
          <w:lang w:val="en-US"/>
        </w:rPr>
        <w:t xml:space="preserve"> </w:t>
      </w:r>
      <w:r w:rsidR="000D2E37">
        <w:rPr>
          <w:lang w:val="en-US"/>
        </w:rPr>
        <w:t xml:space="preserve">70 mHz to </w:t>
      </w:r>
      <w:r w:rsidR="002E26C4">
        <w:rPr>
          <w:lang w:val="en-US"/>
        </w:rPr>
        <w:t>4</w:t>
      </w:r>
      <w:r w:rsidR="000D2E37">
        <w:rPr>
          <w:lang w:val="en-US"/>
        </w:rPr>
        <w:t>00 mHz (</w:t>
      </w:r>
      <w:r w:rsidR="000D2E37" w:rsidRPr="000D2E37">
        <w:rPr>
          <w:i/>
          <w:lang w:val="en-US"/>
        </w:rPr>
        <w:t>figure 57</w:t>
      </w:r>
      <w:r w:rsidR="000D2E37">
        <w:rPr>
          <w:lang w:val="en-US"/>
        </w:rPr>
        <w:t>).</w:t>
      </w:r>
    </w:p>
    <w:p w:rsidR="00AD1E81" w:rsidRPr="005B750C" w:rsidRDefault="00AD1E81" w:rsidP="00AD1E81">
      <w:pPr>
        <w:keepNext/>
        <w:jc w:val="both"/>
        <w:rPr>
          <w:lang w:val="en-US"/>
        </w:rPr>
      </w:pPr>
      <w:r w:rsidRPr="00AD1E81">
        <w:rPr>
          <w:noProof/>
          <w:lang w:eastAsia="it-IT"/>
        </w:rPr>
        <w:drawing>
          <wp:inline distT="0" distB="0" distL="0" distR="0">
            <wp:extent cx="2708910" cy="1966758"/>
            <wp:effectExtent l="19050" t="0" r="0" b="0"/>
            <wp:docPr id="68"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 name="Picture 6"/>
                    <pic:cNvPicPr>
                      <a:picLocks noChangeAspect="1" noChangeArrowheads="1"/>
                    </pic:cNvPicPr>
                  </pic:nvPicPr>
                  <pic:blipFill>
                    <a:blip r:embed="rId64"/>
                    <a:srcRect t="10406"/>
                    <a:stretch>
                      <a:fillRect/>
                    </a:stretch>
                  </pic:blipFill>
                  <pic:spPr bwMode="auto">
                    <a:xfrm>
                      <a:off x="0" y="0"/>
                      <a:ext cx="2708910" cy="1966758"/>
                    </a:xfrm>
                    <a:prstGeom prst="rect">
                      <a:avLst/>
                    </a:prstGeom>
                    <a:noFill/>
                    <a:ln w="9525">
                      <a:noFill/>
                      <a:miter lim="800000"/>
                      <a:headEnd/>
                      <a:tailEnd/>
                    </a:ln>
                  </pic:spPr>
                </pic:pic>
              </a:graphicData>
            </a:graphic>
          </wp:inline>
        </w:drawing>
      </w:r>
      <w:r w:rsidRPr="005B750C">
        <w:rPr>
          <w:noProof/>
          <w:lang w:val="en-US" w:eastAsia="it-IT"/>
        </w:rPr>
        <w:t xml:space="preserve"> </w:t>
      </w:r>
      <w:r w:rsidRPr="00AD1E81">
        <w:rPr>
          <w:noProof/>
          <w:lang w:eastAsia="it-IT"/>
        </w:rPr>
        <w:drawing>
          <wp:inline distT="0" distB="0" distL="0" distR="0">
            <wp:extent cx="3239988" cy="1987139"/>
            <wp:effectExtent l="19050" t="0" r="0" b="0"/>
            <wp:docPr id="69"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6" name="Picture 6"/>
                    <pic:cNvPicPr>
                      <a:picLocks noChangeAspect="1" noChangeArrowheads="1"/>
                    </pic:cNvPicPr>
                  </pic:nvPicPr>
                  <pic:blipFill>
                    <a:blip r:embed="rId65" cstate="print"/>
                    <a:srcRect l="1747" t="5424" b="1018"/>
                    <a:stretch>
                      <a:fillRect/>
                    </a:stretch>
                  </pic:blipFill>
                  <pic:spPr bwMode="auto">
                    <a:xfrm>
                      <a:off x="0" y="0"/>
                      <a:ext cx="3239988" cy="1987139"/>
                    </a:xfrm>
                    <a:prstGeom prst="rect">
                      <a:avLst/>
                    </a:prstGeom>
                    <a:noFill/>
                    <a:ln w="9525">
                      <a:noFill/>
                      <a:miter lim="800000"/>
                      <a:headEnd/>
                      <a:tailEnd/>
                    </a:ln>
                  </pic:spPr>
                </pic:pic>
              </a:graphicData>
            </a:graphic>
          </wp:inline>
        </w:drawing>
      </w:r>
    </w:p>
    <w:p w:rsidR="00AD1E81" w:rsidRPr="00AD1E81" w:rsidRDefault="00AD1E81" w:rsidP="00AD1E81">
      <w:pPr>
        <w:pStyle w:val="Didascalia"/>
        <w:jc w:val="both"/>
        <w:rPr>
          <w:color w:val="1F497D" w:themeColor="text2"/>
          <w:lang w:val="en-US"/>
        </w:rPr>
      </w:pPr>
      <w:r w:rsidRPr="00AD1E81">
        <w:rPr>
          <w:color w:val="1F497D" w:themeColor="text2"/>
          <w:lang w:val="en-US"/>
        </w:rPr>
        <w:t>Figure 56,57: time shift to maximize the temporal coherence (right) and spectral coherence between 2000ft-A and 2000ft-B stations</w:t>
      </w:r>
    </w:p>
    <w:p w:rsidR="007E057A" w:rsidRDefault="007E057A" w:rsidP="00C9247C">
      <w:pPr>
        <w:jc w:val="both"/>
        <w:rPr>
          <w:b/>
          <w:sz w:val="24"/>
          <w:szCs w:val="24"/>
          <w:lang w:val="en-US"/>
        </w:rPr>
      </w:pPr>
    </w:p>
    <w:p w:rsidR="00C9247C" w:rsidRPr="002B01B5" w:rsidRDefault="00C9247C" w:rsidP="00C9247C">
      <w:pPr>
        <w:jc w:val="both"/>
        <w:rPr>
          <w:b/>
          <w:sz w:val="24"/>
          <w:szCs w:val="24"/>
          <w:lang w:val="en-US"/>
        </w:rPr>
      </w:pPr>
      <w:r>
        <w:rPr>
          <w:b/>
          <w:sz w:val="24"/>
          <w:szCs w:val="24"/>
          <w:lang w:val="en-US"/>
        </w:rPr>
        <w:t>VII</w:t>
      </w:r>
      <w:r w:rsidRPr="002B01B5">
        <w:rPr>
          <w:b/>
          <w:sz w:val="24"/>
          <w:szCs w:val="24"/>
          <w:lang w:val="en-US"/>
        </w:rPr>
        <w:t xml:space="preserve">. </w:t>
      </w:r>
      <w:r>
        <w:rPr>
          <w:b/>
          <w:sz w:val="24"/>
          <w:szCs w:val="24"/>
          <w:lang w:val="en-US"/>
        </w:rPr>
        <w:t>Preliminary results</w:t>
      </w:r>
    </w:p>
    <w:p w:rsidR="00C80C9E" w:rsidRDefault="00392A39" w:rsidP="00DA1481">
      <w:pPr>
        <w:jc w:val="both"/>
        <w:rPr>
          <w:lang w:val="en-US"/>
        </w:rPr>
      </w:pPr>
      <w:r>
        <w:rPr>
          <w:lang w:val="en-US"/>
        </w:rPr>
        <w:t>This section illustrates</w:t>
      </w:r>
      <w:r w:rsidR="00C80C9E">
        <w:rPr>
          <w:lang w:val="en-US"/>
        </w:rPr>
        <w:t xml:space="preserve"> some preliminary results of</w:t>
      </w:r>
      <w:r w:rsidR="007D2A75">
        <w:rPr>
          <w:lang w:val="en-US"/>
        </w:rPr>
        <w:t xml:space="preserve"> measurements from the seismometer array at Homestake in comparison wi</w:t>
      </w:r>
      <w:r w:rsidR="00F66816">
        <w:rPr>
          <w:lang w:val="en-US"/>
        </w:rPr>
        <w:t xml:space="preserve">th seismometer stations at </w:t>
      </w:r>
      <w:r w:rsidR="007D2A75">
        <w:rPr>
          <w:lang w:val="en-US"/>
        </w:rPr>
        <w:t>Hanford</w:t>
      </w:r>
      <w:r w:rsidR="00F66816">
        <w:rPr>
          <w:lang w:val="en-US"/>
        </w:rPr>
        <w:t xml:space="preserve"> LIGO</w:t>
      </w:r>
      <w:r w:rsidR="007D2A75">
        <w:rPr>
          <w:lang w:val="en-US"/>
        </w:rPr>
        <w:t xml:space="preserve"> Observatory. The data was collected during the first days of August 2009 using our acquisition system at Homestake for</w:t>
      </w:r>
      <w:r w:rsidR="00C80C9E">
        <w:rPr>
          <w:lang w:val="en-US"/>
        </w:rPr>
        <w:t xml:space="preserve"> the 610 m and</w:t>
      </w:r>
      <w:r w:rsidR="007D2A75">
        <w:rPr>
          <w:lang w:val="en-US"/>
        </w:rPr>
        <w:t xml:space="preserve"> the 1250 m station (the one connected to the network) and the data viewer at Hanford for </w:t>
      </w:r>
      <w:r w:rsidR="007D2A75" w:rsidRPr="007D2A75">
        <w:rPr>
          <w:i/>
          <w:lang w:val="en-US"/>
        </w:rPr>
        <w:t>End</w:t>
      </w:r>
      <w:r w:rsidR="00F66816">
        <w:rPr>
          <w:i/>
          <w:lang w:val="en-US"/>
        </w:rPr>
        <w:t>-X</w:t>
      </w:r>
      <w:r w:rsidR="007D2A75" w:rsidRPr="007D2A75">
        <w:rPr>
          <w:i/>
          <w:lang w:val="en-US"/>
        </w:rPr>
        <w:t xml:space="preserve"> station</w:t>
      </w:r>
      <w:r w:rsidR="007D2A75">
        <w:rPr>
          <w:lang w:val="en-US"/>
        </w:rPr>
        <w:t xml:space="preserve">, </w:t>
      </w:r>
      <w:r w:rsidR="007D2A75" w:rsidRPr="007D2A75">
        <w:rPr>
          <w:i/>
          <w:lang w:val="en-US"/>
        </w:rPr>
        <w:t>End</w:t>
      </w:r>
      <w:r w:rsidR="00F66816">
        <w:rPr>
          <w:i/>
          <w:lang w:val="en-US"/>
        </w:rPr>
        <w:t>-Y</w:t>
      </w:r>
      <w:r w:rsidR="007D2A75" w:rsidRPr="007D2A75">
        <w:rPr>
          <w:i/>
          <w:lang w:val="en-US"/>
        </w:rPr>
        <w:t xml:space="preserve"> station</w:t>
      </w:r>
      <w:r w:rsidR="007D2A75">
        <w:rPr>
          <w:lang w:val="en-US"/>
        </w:rPr>
        <w:t xml:space="preserve"> and the vertex station </w:t>
      </w:r>
      <w:r w:rsidR="007D2A75" w:rsidRPr="007D2A75">
        <w:rPr>
          <w:i/>
          <w:lang w:val="en-US"/>
        </w:rPr>
        <w:t>Vault</w:t>
      </w:r>
      <w:r w:rsidR="007D2A75">
        <w:rPr>
          <w:lang w:val="en-US"/>
        </w:rPr>
        <w:t>.</w:t>
      </w:r>
      <w:r w:rsidR="00A66FC7">
        <w:rPr>
          <w:lang w:val="en-US"/>
        </w:rPr>
        <w:t xml:space="preserve"> </w:t>
      </w:r>
      <w:r w:rsidR="00C80C9E">
        <w:rPr>
          <w:lang w:val="en-US"/>
        </w:rPr>
        <w:t xml:space="preserve">In </w:t>
      </w:r>
      <w:r w:rsidR="00C80C9E" w:rsidRPr="00C80C9E">
        <w:rPr>
          <w:i/>
          <w:lang w:val="en-US"/>
        </w:rPr>
        <w:t>figure 58</w:t>
      </w:r>
      <w:r w:rsidR="00C80C9E">
        <w:rPr>
          <w:lang w:val="en-US"/>
        </w:rPr>
        <w:t xml:space="preserve"> a spectral time-frequency plot </w:t>
      </w:r>
      <w:r w:rsidR="002E26C4">
        <w:rPr>
          <w:lang w:val="en-US"/>
        </w:rPr>
        <w:t>of</w:t>
      </w:r>
      <w:r w:rsidR="00C80C9E">
        <w:rPr>
          <w:lang w:val="en-US"/>
        </w:rPr>
        <w:t xml:space="preserve"> the 2000ft-B station (610 m) for a whole day is shown. The two low frequency burst</w:t>
      </w:r>
      <w:r w:rsidR="00EE7AD0">
        <w:rPr>
          <w:lang w:val="en-US"/>
        </w:rPr>
        <w:t>s</w:t>
      </w:r>
      <w:r w:rsidR="00C80C9E">
        <w:rPr>
          <w:lang w:val="en-US"/>
        </w:rPr>
        <w:t xml:space="preserve"> at 0 and 0.2 day are caused by drilling operation at that level, the perturbation over all frequencies at about 0.15 day is caused by the passage of the mine-train next to the station.</w:t>
      </w:r>
    </w:p>
    <w:p w:rsidR="00C80C9E" w:rsidRDefault="00C80C9E" w:rsidP="00C80C9E">
      <w:pPr>
        <w:keepNext/>
        <w:jc w:val="center"/>
      </w:pPr>
      <w:r w:rsidRPr="00C80C9E">
        <w:rPr>
          <w:noProof/>
          <w:lang w:eastAsia="it-IT"/>
        </w:rPr>
        <w:drawing>
          <wp:inline distT="0" distB="0" distL="0" distR="0">
            <wp:extent cx="3181350" cy="2542336"/>
            <wp:effectExtent l="19050" t="0" r="0" b="0"/>
            <wp:docPr id="5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Picture 2"/>
                    <pic:cNvPicPr>
                      <a:picLocks noChangeAspect="1" noChangeArrowheads="1"/>
                    </pic:cNvPicPr>
                  </pic:nvPicPr>
                  <pic:blipFill>
                    <a:blip r:embed="rId66"/>
                    <a:srcRect/>
                    <a:stretch>
                      <a:fillRect/>
                    </a:stretch>
                  </pic:blipFill>
                  <pic:spPr bwMode="auto">
                    <a:xfrm>
                      <a:off x="0" y="0"/>
                      <a:ext cx="3187264" cy="2547062"/>
                    </a:xfrm>
                    <a:prstGeom prst="rect">
                      <a:avLst/>
                    </a:prstGeom>
                    <a:noFill/>
                    <a:ln w="9525">
                      <a:noFill/>
                      <a:miter lim="800000"/>
                      <a:headEnd/>
                      <a:tailEnd/>
                    </a:ln>
                  </pic:spPr>
                </pic:pic>
              </a:graphicData>
            </a:graphic>
          </wp:inline>
        </w:drawing>
      </w:r>
    </w:p>
    <w:p w:rsidR="00C80C9E" w:rsidRPr="0020051B" w:rsidRDefault="00C80C9E" w:rsidP="0020051B">
      <w:pPr>
        <w:pStyle w:val="Didascalia"/>
        <w:rPr>
          <w:color w:val="1F497D" w:themeColor="text2"/>
          <w:lang w:val="en-US"/>
        </w:rPr>
      </w:pPr>
      <w:r w:rsidRPr="0020051B">
        <w:rPr>
          <w:color w:val="1F497D" w:themeColor="text2"/>
          <w:lang w:val="en-US"/>
        </w:rPr>
        <w:t>Figure 58: amplitude density spectrum in a whole day time-frequency plot</w:t>
      </w:r>
      <w:r w:rsidR="00EE7AD0" w:rsidRPr="0020051B">
        <w:rPr>
          <w:color w:val="1F497D" w:themeColor="text2"/>
          <w:lang w:val="en-US"/>
        </w:rPr>
        <w:t xml:space="preserve"> for the 610 m B station</w:t>
      </w:r>
      <w:r w:rsidRPr="0020051B">
        <w:rPr>
          <w:color w:val="1F497D" w:themeColor="text2"/>
          <w:lang w:val="en-US"/>
        </w:rPr>
        <w:t>. The</w:t>
      </w:r>
      <w:r w:rsidR="00EE7AD0" w:rsidRPr="0020051B">
        <w:rPr>
          <w:color w:val="1F497D" w:themeColor="text2"/>
          <w:lang w:val="en-US"/>
        </w:rPr>
        <w:t xml:space="preserve"> </w:t>
      </w:r>
      <w:r w:rsidRPr="0020051B">
        <w:rPr>
          <w:color w:val="1F497D" w:themeColor="text2"/>
          <w:lang w:val="en-US"/>
        </w:rPr>
        <w:t xml:space="preserve"> </w:t>
      </w:r>
      <w:r w:rsidR="00EE7AD0" w:rsidRPr="0020051B">
        <w:rPr>
          <w:color w:val="1F497D" w:themeColor="text2"/>
          <w:lang w:val="en-US"/>
        </w:rPr>
        <w:t xml:space="preserve">low frequency </w:t>
      </w:r>
      <w:r w:rsidRPr="0020051B">
        <w:rPr>
          <w:color w:val="1F497D" w:themeColor="text2"/>
          <w:lang w:val="en-US"/>
        </w:rPr>
        <w:t xml:space="preserve">bursts </w:t>
      </w:r>
      <w:r w:rsidR="00EE7AD0" w:rsidRPr="0020051B">
        <w:rPr>
          <w:color w:val="1F497D" w:themeColor="text2"/>
          <w:lang w:val="en-US"/>
        </w:rPr>
        <w:t>around 0 and 0.2 are caused by drilling operation, while the perturbation over all frequency at 0.15 is due to a train passing next to the station.</w:t>
      </w:r>
      <w:r w:rsidR="0020051B" w:rsidRPr="0020051B">
        <w:rPr>
          <w:color w:val="1F497D" w:themeColor="text2"/>
          <w:lang w:val="en-US"/>
        </w:rPr>
        <w:t xml:space="preserve"> The yellow r</w:t>
      </w:r>
      <w:r w:rsidR="004863B6">
        <w:rPr>
          <w:color w:val="1F497D" w:themeColor="text2"/>
          <w:lang w:val="en-US"/>
        </w:rPr>
        <w:t>ange</w:t>
      </w:r>
      <w:r w:rsidR="0020051B" w:rsidRPr="0020051B">
        <w:rPr>
          <w:color w:val="1F497D" w:themeColor="text2"/>
          <w:lang w:val="en-US"/>
        </w:rPr>
        <w:t xml:space="preserve"> of frequenc</w:t>
      </w:r>
      <w:r w:rsidR="004863B6">
        <w:rPr>
          <w:color w:val="1F497D" w:themeColor="text2"/>
          <w:lang w:val="en-US"/>
        </w:rPr>
        <w:t>ies (0.1-0.2 Hz)</w:t>
      </w:r>
      <w:r w:rsidR="0020051B" w:rsidRPr="0020051B">
        <w:rPr>
          <w:color w:val="1F497D" w:themeColor="text2"/>
          <w:lang w:val="en-US"/>
        </w:rPr>
        <w:t xml:space="preserve"> over all day represents the microseismic peaks</w:t>
      </w:r>
      <w:r w:rsidR="0020051B">
        <w:rPr>
          <w:color w:val="1F497D" w:themeColor="text2"/>
          <w:lang w:val="en-US"/>
        </w:rPr>
        <w:t xml:space="preserve"> caused by oceanic activity</w:t>
      </w:r>
    </w:p>
    <w:p w:rsidR="00F532F6" w:rsidRDefault="0020051B" w:rsidP="00DA1481">
      <w:pPr>
        <w:jc w:val="both"/>
        <w:rPr>
          <w:lang w:val="en-US"/>
        </w:rPr>
      </w:pPr>
      <w:r>
        <w:rPr>
          <w:lang w:val="en-US"/>
        </w:rPr>
        <w:lastRenderedPageBreak/>
        <w:t xml:space="preserve">In </w:t>
      </w:r>
      <w:r w:rsidRPr="00FE5360">
        <w:rPr>
          <w:i/>
          <w:lang w:val="en-US"/>
        </w:rPr>
        <w:t>figure 59</w:t>
      </w:r>
      <w:r>
        <w:rPr>
          <w:lang w:val="en-US"/>
        </w:rPr>
        <w:t xml:space="preserve"> </w:t>
      </w:r>
      <w:r w:rsidR="00F532F6">
        <w:rPr>
          <w:lang w:val="en-US"/>
        </w:rPr>
        <w:t xml:space="preserve">are shown </w:t>
      </w:r>
      <w:r>
        <w:rPr>
          <w:lang w:val="en-US"/>
        </w:rPr>
        <w:t>amplitude density spectra</w:t>
      </w:r>
      <w:r w:rsidR="00F532F6">
        <w:rPr>
          <w:lang w:val="en-US"/>
        </w:rPr>
        <w:t xml:space="preserve"> for the 1250 m station at Homestake compared to </w:t>
      </w:r>
      <w:r w:rsidR="00F66816">
        <w:rPr>
          <w:lang w:val="en-US"/>
        </w:rPr>
        <w:t>the ave</w:t>
      </w:r>
      <w:r w:rsidR="00D26653">
        <w:rPr>
          <w:lang w:val="en-US"/>
        </w:rPr>
        <w:t>rage seismic data from</w:t>
      </w:r>
      <w:r w:rsidR="00F66816">
        <w:rPr>
          <w:lang w:val="en-US"/>
        </w:rPr>
        <w:t xml:space="preserve"> LIGO</w:t>
      </w:r>
      <w:r w:rsidR="00D26653">
        <w:rPr>
          <w:lang w:val="en-US"/>
        </w:rPr>
        <w:t xml:space="preserve"> Hanford</w:t>
      </w:r>
      <w:r w:rsidR="00F66816">
        <w:rPr>
          <w:lang w:val="en-US"/>
        </w:rPr>
        <w:t xml:space="preserve"> observatory at End-X, End-Y and Vault stations; the last plot of </w:t>
      </w:r>
      <w:r w:rsidR="00F66816" w:rsidRPr="00FE5360">
        <w:rPr>
          <w:i/>
          <w:lang w:val="en-US"/>
        </w:rPr>
        <w:t>figure 59</w:t>
      </w:r>
      <w:r w:rsidR="00F66816">
        <w:rPr>
          <w:lang w:val="en-US"/>
        </w:rPr>
        <w:t xml:space="preserve"> shows a comparison between the quiet</w:t>
      </w:r>
      <w:r w:rsidR="00FE5360">
        <w:rPr>
          <w:lang w:val="en-US"/>
        </w:rPr>
        <w:t xml:space="preserve"> and noisy data from 1250m at Homestake and Hanford End-X station: at low frequencies</w:t>
      </w:r>
      <w:r w:rsidR="007F4639">
        <w:rPr>
          <w:lang w:val="en-US"/>
        </w:rPr>
        <w:t xml:space="preserve"> Hanford </w:t>
      </w:r>
      <w:r w:rsidR="00FE5360">
        <w:rPr>
          <w:lang w:val="en-US"/>
        </w:rPr>
        <w:t>noisy dat</w:t>
      </w:r>
      <w:r w:rsidR="007F4639">
        <w:rPr>
          <w:lang w:val="en-US"/>
        </w:rPr>
        <w:t>a get worse of</w:t>
      </w:r>
      <w:r w:rsidR="00FE5360">
        <w:rPr>
          <w:lang w:val="en-US"/>
        </w:rPr>
        <w:t xml:space="preserve"> more than two orders of magnitude</w:t>
      </w:r>
      <w:r w:rsidR="007F4639">
        <w:rPr>
          <w:lang w:val="en-US"/>
        </w:rPr>
        <w:t xml:space="preserve"> during noisy times, while at Homestake the average plot shows that even during noisy time the spectrum remains close to the quietest data. Clearly this is a remarkable advantage of th</w:t>
      </w:r>
      <w:r w:rsidR="00BF0F79">
        <w:rPr>
          <w:lang w:val="en-US"/>
        </w:rPr>
        <w:t>is</w:t>
      </w:r>
      <w:r w:rsidR="007F4639">
        <w:rPr>
          <w:lang w:val="en-US"/>
        </w:rPr>
        <w:t xml:space="preserve"> underground location.</w:t>
      </w:r>
      <w:r w:rsidR="00FE5360">
        <w:rPr>
          <w:lang w:val="en-US"/>
        </w:rPr>
        <w:t xml:space="preserve"> </w:t>
      </w:r>
    </w:p>
    <w:p w:rsidR="00C775AF" w:rsidRDefault="00F532F6" w:rsidP="00C775AF">
      <w:pPr>
        <w:keepNext/>
        <w:jc w:val="both"/>
      </w:pPr>
      <w:r>
        <w:rPr>
          <w:noProof/>
          <w:lang w:eastAsia="it-IT"/>
        </w:rPr>
        <w:drawing>
          <wp:inline distT="0" distB="0" distL="0" distR="0">
            <wp:extent cx="6557282" cy="4172266"/>
            <wp:effectExtent l="19050" t="0" r="0" b="0"/>
            <wp:docPr id="56" name="Immagine 1" descr="C:\Documents and Settings\pc\Desktop\seminario_e_paper_homestake\result-summar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c\Desktop\seminario_e_paper_homestake\result-summary.bmp"/>
                    <pic:cNvPicPr>
                      <a:picLocks noChangeAspect="1" noChangeArrowheads="1"/>
                    </pic:cNvPicPr>
                  </pic:nvPicPr>
                  <pic:blipFill>
                    <a:blip r:embed="rId67"/>
                    <a:stretch>
                      <a:fillRect/>
                    </a:stretch>
                  </pic:blipFill>
                  <pic:spPr bwMode="auto">
                    <a:xfrm>
                      <a:off x="0" y="0"/>
                      <a:ext cx="6557282" cy="4172266"/>
                    </a:xfrm>
                    <a:prstGeom prst="rect">
                      <a:avLst/>
                    </a:prstGeom>
                    <a:noFill/>
                    <a:ln w="9525">
                      <a:noFill/>
                      <a:miter lim="800000"/>
                      <a:headEnd/>
                      <a:tailEnd/>
                    </a:ln>
                  </pic:spPr>
                </pic:pic>
              </a:graphicData>
            </a:graphic>
          </wp:inline>
        </w:drawing>
      </w:r>
    </w:p>
    <w:p w:rsidR="00AD1E81" w:rsidRPr="0071598B" w:rsidRDefault="00C775AF" w:rsidP="00C775AF">
      <w:pPr>
        <w:pStyle w:val="Didascalia"/>
        <w:jc w:val="both"/>
        <w:rPr>
          <w:color w:val="1F497D" w:themeColor="text2"/>
          <w:lang w:val="en-US"/>
        </w:rPr>
      </w:pPr>
      <w:r w:rsidRPr="0071598B">
        <w:rPr>
          <w:color w:val="1F497D" w:themeColor="text2"/>
          <w:lang w:val="en-US"/>
        </w:rPr>
        <w:t>Figure 59: amplitude density s</w:t>
      </w:r>
      <w:r w:rsidR="00D26653">
        <w:rPr>
          <w:color w:val="1F497D" w:themeColor="text2"/>
          <w:lang w:val="en-US"/>
        </w:rPr>
        <w:t>pectra for Homestake and</w:t>
      </w:r>
      <w:r w:rsidRPr="0071598B">
        <w:rPr>
          <w:color w:val="1F497D" w:themeColor="text2"/>
          <w:lang w:val="en-US"/>
        </w:rPr>
        <w:t xml:space="preserve"> LIGO</w:t>
      </w:r>
      <w:r w:rsidR="00D26653">
        <w:rPr>
          <w:color w:val="1F497D" w:themeColor="text2"/>
          <w:lang w:val="en-US"/>
        </w:rPr>
        <w:t xml:space="preserve"> Hanford</w:t>
      </w:r>
      <w:r w:rsidRPr="0071598B">
        <w:rPr>
          <w:color w:val="1F497D" w:themeColor="text2"/>
          <w:lang w:val="en-US"/>
        </w:rPr>
        <w:t xml:space="preserve"> observatory data. In the first three plots the blue line represent the Homestake average data at 4100 ft in comparison with </w:t>
      </w:r>
      <w:r w:rsidR="0071598B" w:rsidRPr="0071598B">
        <w:rPr>
          <w:color w:val="1F497D" w:themeColor="text2"/>
          <w:lang w:val="en-US"/>
        </w:rPr>
        <w:t>average data from End-X, End-Y and Vault station at Hanford. The last plot shows a comparison between quiet and noisy data at Hanford and Homestake: this remarkable result shows clearly the advantage of an underground site for future generation GWID operating at low frequency</w:t>
      </w:r>
    </w:p>
    <w:p w:rsidR="0020051B" w:rsidRPr="0020051B" w:rsidRDefault="00BA4CBE" w:rsidP="000B4B36">
      <w:pPr>
        <w:jc w:val="both"/>
        <w:rPr>
          <w:lang w:val="en-US"/>
        </w:rPr>
      </w:pPr>
      <w:r>
        <w:rPr>
          <w:lang w:val="en-US"/>
        </w:rPr>
        <w:t xml:space="preserve">In </w:t>
      </w:r>
      <w:r w:rsidRPr="00BA4CBE">
        <w:rPr>
          <w:i/>
          <w:lang w:val="en-US"/>
        </w:rPr>
        <w:t>figure 60</w:t>
      </w:r>
      <w:r>
        <w:rPr>
          <w:lang w:val="en-US"/>
        </w:rPr>
        <w:t xml:space="preserve"> a comparison between average z-component data from 4100 ft Homestake and Hanford stations is shown</w:t>
      </w:r>
      <w:r w:rsidR="00506EFA">
        <w:rPr>
          <w:lang w:val="en-US"/>
        </w:rPr>
        <w:t xml:space="preserve">: even during noisy time Homestake seismic data is quieter than average Hanford data </w:t>
      </w:r>
      <w:r w:rsidR="005F1090">
        <w:rPr>
          <w:lang w:val="en-US"/>
        </w:rPr>
        <w:t>by</w:t>
      </w:r>
      <w:r w:rsidR="00506EFA">
        <w:rPr>
          <w:lang w:val="en-US"/>
        </w:rPr>
        <w:t xml:space="preserve"> about one to two orders of magnitude in </w:t>
      </w:r>
      <w:r w:rsidR="00392A39">
        <w:rPr>
          <w:lang w:val="en-US"/>
        </w:rPr>
        <w:t>1</w:t>
      </w:r>
      <w:r w:rsidR="00506EFA">
        <w:rPr>
          <w:lang w:val="en-US"/>
        </w:rPr>
        <w:t>-10 Hz range</w:t>
      </w:r>
      <w:r w:rsidR="00392A39">
        <w:rPr>
          <w:lang w:val="en-US"/>
        </w:rPr>
        <w:t xml:space="preserve">. </w:t>
      </w:r>
      <w:r w:rsidR="00392A39" w:rsidRPr="00392A39">
        <w:rPr>
          <w:lang w:val="en-US"/>
        </w:rPr>
        <w:t>In reality in this region</w:t>
      </w:r>
      <w:r w:rsidR="00506EFA">
        <w:rPr>
          <w:lang w:val="en-US"/>
        </w:rPr>
        <w:t xml:space="preserve"> the </w:t>
      </w:r>
      <w:r w:rsidR="00BF0F79">
        <w:rPr>
          <w:lang w:val="en-US"/>
        </w:rPr>
        <w:t xml:space="preserve">instrumental </w:t>
      </w:r>
      <w:r w:rsidR="00506EFA">
        <w:rPr>
          <w:lang w:val="en-US"/>
        </w:rPr>
        <w:t xml:space="preserve">noise may </w:t>
      </w:r>
      <w:r w:rsidR="00392A39" w:rsidRPr="00392A39">
        <w:rPr>
          <w:lang w:val="en-US"/>
        </w:rPr>
        <w:t>actually become</w:t>
      </w:r>
      <w:r w:rsidR="00506EFA">
        <w:rPr>
          <w:lang w:val="en-US"/>
        </w:rPr>
        <w:t xml:space="preserve"> worse </w:t>
      </w:r>
      <w:r w:rsidR="00392A39" w:rsidRPr="00392A39">
        <w:rPr>
          <w:lang w:val="en-US"/>
        </w:rPr>
        <w:t>than the actual seismic motion level</w:t>
      </w:r>
      <w:r w:rsidR="00506EFA">
        <w:rPr>
          <w:lang w:val="en-US"/>
        </w:rPr>
        <w:t xml:space="preserve">, hence the </w:t>
      </w:r>
      <w:r w:rsidR="00392A39" w:rsidRPr="00392A39">
        <w:rPr>
          <w:lang w:val="en-US"/>
        </w:rPr>
        <w:t xml:space="preserve">advantage may even </w:t>
      </w:r>
      <w:r w:rsidR="00392A39">
        <w:rPr>
          <w:lang w:val="en-US"/>
        </w:rPr>
        <w:t xml:space="preserve">be </w:t>
      </w:r>
      <w:r w:rsidR="00506EFA">
        <w:rPr>
          <w:lang w:val="en-US"/>
        </w:rPr>
        <w:t>greater</w:t>
      </w:r>
      <w:r w:rsidR="00392A39">
        <w:rPr>
          <w:rStyle w:val="Rimandonotaapidipagina"/>
          <w:lang w:val="en-US"/>
        </w:rPr>
        <w:footnoteReference w:id="6"/>
      </w:r>
      <w:r w:rsidR="00506EFA">
        <w:rPr>
          <w:lang w:val="en-US"/>
        </w:rPr>
        <w:t>.</w:t>
      </w:r>
      <w:r w:rsidR="00506EFA" w:rsidRPr="005F1090">
        <w:rPr>
          <w:i/>
          <w:lang w:val="en-US"/>
        </w:rPr>
        <w:t xml:space="preserve"> Figure 61</w:t>
      </w:r>
      <w:r w:rsidR="00506EFA">
        <w:rPr>
          <w:lang w:val="en-US"/>
        </w:rPr>
        <w:t xml:space="preserve"> shows the </w:t>
      </w:r>
      <w:r w:rsidR="005F1090">
        <w:rPr>
          <w:lang w:val="en-US"/>
        </w:rPr>
        <w:t>comparison with Hanford data during no</w:t>
      </w:r>
      <w:r w:rsidR="004052F5">
        <w:rPr>
          <w:lang w:val="en-US"/>
        </w:rPr>
        <w:t>i</w:t>
      </w:r>
      <w:r w:rsidR="005F1090">
        <w:rPr>
          <w:lang w:val="en-US"/>
        </w:rPr>
        <w:t xml:space="preserve">sy time: between </w:t>
      </w:r>
      <w:r w:rsidR="004052F5">
        <w:rPr>
          <w:lang w:val="en-US"/>
        </w:rPr>
        <w:t>1</w:t>
      </w:r>
      <w:r w:rsidR="005F1090">
        <w:rPr>
          <w:lang w:val="en-US"/>
        </w:rPr>
        <w:t xml:space="preserve"> and 10 Hz Homestake </w:t>
      </w:r>
      <w:r w:rsidR="004052F5">
        <w:rPr>
          <w:lang w:val="en-US"/>
        </w:rPr>
        <w:t xml:space="preserve">underground </w:t>
      </w:r>
      <w:r w:rsidR="005F1090">
        <w:rPr>
          <w:lang w:val="en-US"/>
        </w:rPr>
        <w:t>data, even</w:t>
      </w:r>
      <w:r w:rsidR="004052F5">
        <w:rPr>
          <w:lang w:val="en-US"/>
        </w:rPr>
        <w:t xml:space="preserve"> when</w:t>
      </w:r>
      <w:r w:rsidR="005F1090">
        <w:rPr>
          <w:lang w:val="en-US"/>
        </w:rPr>
        <w:t xml:space="preserve"> noisy, is quieter by two to three orders of magnitude, and at 0.1 Hz Homestake is quieter then Hanford </w:t>
      </w:r>
      <w:r w:rsidR="004052F5" w:rsidRPr="004052F5">
        <w:rPr>
          <w:lang w:val="en-US"/>
        </w:rPr>
        <w:t xml:space="preserve">noisy times </w:t>
      </w:r>
      <w:r w:rsidR="005F1090">
        <w:rPr>
          <w:lang w:val="en-US"/>
        </w:rPr>
        <w:t xml:space="preserve">by nearly four orders of magnitude. The last </w:t>
      </w:r>
      <w:r w:rsidR="005F1090" w:rsidRPr="005F1090">
        <w:rPr>
          <w:i/>
          <w:lang w:val="en-US"/>
        </w:rPr>
        <w:t>figure 62</w:t>
      </w:r>
      <w:r w:rsidR="005F1090">
        <w:rPr>
          <w:lang w:val="en-US"/>
        </w:rPr>
        <w:t xml:space="preserve"> shows amplitude density spectrum </w:t>
      </w:r>
      <w:r w:rsidR="00212556">
        <w:rPr>
          <w:lang w:val="en-US"/>
        </w:rPr>
        <w:t xml:space="preserve">of the 4100 ft station compared with </w:t>
      </w:r>
      <w:r w:rsidR="00255941">
        <w:rPr>
          <w:lang w:val="en-US"/>
        </w:rPr>
        <w:t xml:space="preserve">Peterson NLNM (New Low Noise Model) that is the </w:t>
      </w:r>
      <w:r w:rsidR="004052F5">
        <w:rPr>
          <w:lang w:val="en-US"/>
        </w:rPr>
        <w:t xml:space="preserve">estimated </w:t>
      </w:r>
      <w:r w:rsidR="00255941">
        <w:rPr>
          <w:lang w:val="en-US"/>
        </w:rPr>
        <w:t xml:space="preserve">minimum Earth noise: from a collection of seismic data from 75 sites around the world, Peterson found that there is a minimum level of Earth noise, noise levels below this are never, or extremely rarely, observed; </w:t>
      </w:r>
      <w:r w:rsidR="00366D52">
        <w:rPr>
          <w:lang w:val="en-US"/>
        </w:rPr>
        <w:t xml:space="preserve">between 0.1 and 1 Hz </w:t>
      </w:r>
      <w:r w:rsidR="00255941">
        <w:rPr>
          <w:lang w:val="en-US"/>
        </w:rPr>
        <w:t>our data is quieter than Peterson noise</w:t>
      </w:r>
      <w:r w:rsidR="00366D52">
        <w:rPr>
          <w:lang w:val="en-US"/>
        </w:rPr>
        <w:t xml:space="preserve">, and this is </w:t>
      </w:r>
      <w:r w:rsidR="00366D52">
        <w:rPr>
          <w:lang w:val="en-US"/>
        </w:rPr>
        <w:lastRenderedPageBreak/>
        <w:t xml:space="preserve">another remarkable </w:t>
      </w:r>
      <w:r w:rsidR="003369BE">
        <w:rPr>
          <w:lang w:val="en-US"/>
        </w:rPr>
        <w:t>result. Between 1 and 10 Hz increasing seismic</w:t>
      </w:r>
      <w:r w:rsidR="00BF0F79">
        <w:rPr>
          <w:lang w:val="en-US"/>
        </w:rPr>
        <w:t xml:space="preserve"> </w:t>
      </w:r>
      <w:r w:rsidR="003369BE">
        <w:rPr>
          <w:lang w:val="en-US"/>
        </w:rPr>
        <w:t xml:space="preserve">noise </w:t>
      </w:r>
      <w:r w:rsidR="00366D52">
        <w:rPr>
          <w:lang w:val="en-US"/>
        </w:rPr>
        <w:t>causes the divergence from the Pe</w:t>
      </w:r>
      <w:r w:rsidR="003369BE">
        <w:rPr>
          <w:lang w:val="en-US"/>
        </w:rPr>
        <w:t>te</w:t>
      </w:r>
      <w:r w:rsidR="00366D52">
        <w:rPr>
          <w:lang w:val="en-US"/>
        </w:rPr>
        <w:t>rson NLNM</w:t>
      </w:r>
      <w:r w:rsidR="00BF0F79">
        <w:rPr>
          <w:lang w:val="en-US"/>
        </w:rPr>
        <w:t xml:space="preserve"> shape</w:t>
      </w:r>
      <w:r w:rsidR="00366D52">
        <w:rPr>
          <w:lang w:val="en-US"/>
        </w:rPr>
        <w:t>.</w:t>
      </w:r>
    </w:p>
    <w:p w:rsidR="00366D52" w:rsidRDefault="00366D52" w:rsidP="00366D52">
      <w:pPr>
        <w:keepNext/>
        <w:jc w:val="both"/>
      </w:pPr>
      <w:r w:rsidRPr="00366D52">
        <w:rPr>
          <w:noProof/>
          <w:lang w:eastAsia="it-IT"/>
        </w:rPr>
        <w:drawing>
          <wp:inline distT="0" distB="0" distL="0" distR="0">
            <wp:extent cx="6473190" cy="3665220"/>
            <wp:effectExtent l="19050" t="0" r="3810" b="0"/>
            <wp:docPr id="62" name="Immagine 5" descr="average_lho_and_homestake.jpg"/>
            <wp:cNvGraphicFramePr/>
            <a:graphic xmlns:a="http://schemas.openxmlformats.org/drawingml/2006/main">
              <a:graphicData uri="http://schemas.openxmlformats.org/drawingml/2006/picture">
                <pic:pic xmlns:pic="http://schemas.openxmlformats.org/drawingml/2006/picture">
                  <pic:nvPicPr>
                    <pic:cNvPr id="23555" name="Picture 11" descr="average_lho_and_homestake.jpg"/>
                    <pic:cNvPicPr>
                      <a:picLocks noChangeAspect="1"/>
                    </pic:cNvPicPr>
                  </pic:nvPicPr>
                  <pic:blipFill>
                    <a:blip r:embed="rId68"/>
                    <a:srcRect/>
                    <a:stretch>
                      <a:fillRect/>
                    </a:stretch>
                  </pic:blipFill>
                  <pic:spPr bwMode="auto">
                    <a:xfrm>
                      <a:off x="0" y="0"/>
                      <a:ext cx="6473112" cy="3665176"/>
                    </a:xfrm>
                    <a:prstGeom prst="rect">
                      <a:avLst/>
                    </a:prstGeom>
                    <a:noFill/>
                    <a:ln w="9525">
                      <a:noFill/>
                      <a:miter lim="800000"/>
                      <a:headEnd/>
                      <a:tailEnd/>
                    </a:ln>
                  </pic:spPr>
                </pic:pic>
              </a:graphicData>
            </a:graphic>
          </wp:inline>
        </w:drawing>
      </w:r>
    </w:p>
    <w:p w:rsidR="00366D52" w:rsidRPr="002455F2" w:rsidRDefault="00366D52" w:rsidP="00366D52">
      <w:pPr>
        <w:pStyle w:val="Didascalia"/>
        <w:jc w:val="both"/>
        <w:rPr>
          <w:color w:val="1F497D" w:themeColor="text2"/>
          <w:lang w:val="en-US"/>
        </w:rPr>
      </w:pPr>
      <w:r w:rsidRPr="002455F2">
        <w:rPr>
          <w:color w:val="1F497D" w:themeColor="text2"/>
          <w:lang w:val="en-US"/>
        </w:rPr>
        <w:t>Figure 60: comparison between Homestake</w:t>
      </w:r>
      <w:r w:rsidR="00D26653" w:rsidRPr="002455F2">
        <w:rPr>
          <w:color w:val="1F497D" w:themeColor="text2"/>
          <w:lang w:val="en-US"/>
        </w:rPr>
        <w:t xml:space="preserve"> 4100ft level</w:t>
      </w:r>
      <w:r w:rsidRPr="002455F2">
        <w:rPr>
          <w:color w:val="1F497D" w:themeColor="text2"/>
          <w:lang w:val="en-US"/>
        </w:rPr>
        <w:t xml:space="preserve"> quiet and a</w:t>
      </w:r>
      <w:r w:rsidR="00D26653" w:rsidRPr="002455F2">
        <w:rPr>
          <w:color w:val="1F497D" w:themeColor="text2"/>
          <w:lang w:val="en-US"/>
        </w:rPr>
        <w:t>verage seismic data with LHO</w:t>
      </w:r>
      <w:r w:rsidRPr="002455F2">
        <w:rPr>
          <w:color w:val="1F497D" w:themeColor="text2"/>
          <w:lang w:val="en-US"/>
        </w:rPr>
        <w:t xml:space="preserve"> quiet seismic data</w:t>
      </w:r>
    </w:p>
    <w:p w:rsidR="00366D52" w:rsidRDefault="00366D52" w:rsidP="00366D52">
      <w:pPr>
        <w:keepNext/>
        <w:jc w:val="both"/>
      </w:pPr>
      <w:r w:rsidRPr="00366D52">
        <w:rPr>
          <w:noProof/>
          <w:lang w:eastAsia="it-IT"/>
        </w:rPr>
        <w:drawing>
          <wp:inline distT="0" distB="0" distL="0" distR="0">
            <wp:extent cx="6477000" cy="3642360"/>
            <wp:effectExtent l="19050" t="0" r="0" b="0"/>
            <wp:docPr id="63" name="Immagine 6" descr="Comparison_Will_Use.jpg"/>
            <wp:cNvGraphicFramePr/>
            <a:graphic xmlns:a="http://schemas.openxmlformats.org/drawingml/2006/main">
              <a:graphicData uri="http://schemas.openxmlformats.org/drawingml/2006/picture">
                <pic:pic xmlns:pic="http://schemas.openxmlformats.org/drawingml/2006/picture">
                  <pic:nvPicPr>
                    <pic:cNvPr id="24580" name="Picture 4" descr="Comparison_Will_Use.jpg"/>
                    <pic:cNvPicPr>
                      <a:picLocks noChangeAspect="1"/>
                    </pic:cNvPicPr>
                  </pic:nvPicPr>
                  <pic:blipFill>
                    <a:blip r:embed="rId69"/>
                    <a:srcRect/>
                    <a:stretch>
                      <a:fillRect/>
                    </a:stretch>
                  </pic:blipFill>
                  <pic:spPr bwMode="auto">
                    <a:xfrm>
                      <a:off x="0" y="0"/>
                      <a:ext cx="6478127" cy="3642994"/>
                    </a:xfrm>
                    <a:prstGeom prst="rect">
                      <a:avLst/>
                    </a:prstGeom>
                    <a:noFill/>
                    <a:ln w="9525">
                      <a:noFill/>
                      <a:miter lim="800000"/>
                      <a:headEnd/>
                      <a:tailEnd/>
                    </a:ln>
                  </pic:spPr>
                </pic:pic>
              </a:graphicData>
            </a:graphic>
          </wp:inline>
        </w:drawing>
      </w:r>
    </w:p>
    <w:p w:rsidR="00366D52" w:rsidRPr="002455F2" w:rsidRDefault="00366D52" w:rsidP="00366D52">
      <w:pPr>
        <w:pStyle w:val="Didascalia"/>
        <w:jc w:val="both"/>
        <w:rPr>
          <w:color w:val="1F497D" w:themeColor="text2"/>
          <w:lang w:val="en-US"/>
        </w:rPr>
      </w:pPr>
      <w:r w:rsidRPr="002455F2">
        <w:rPr>
          <w:color w:val="1F497D" w:themeColor="text2"/>
          <w:lang w:val="en-US"/>
        </w:rPr>
        <w:t>Figure 61:</w:t>
      </w:r>
      <w:r w:rsidR="00D26653" w:rsidRPr="002455F2">
        <w:rPr>
          <w:color w:val="1F497D" w:themeColor="text2"/>
          <w:lang w:val="en-US"/>
        </w:rPr>
        <w:t xml:space="preserve"> comparison between Homestake 4100ft level and LHO quiet and average seismic data: </w:t>
      </w:r>
      <w:r w:rsidR="002455F2">
        <w:rPr>
          <w:color w:val="1F497D" w:themeColor="text2"/>
          <w:lang w:val="en-US"/>
        </w:rPr>
        <w:t>the seismic data</w:t>
      </w:r>
      <w:r w:rsidR="002455F2" w:rsidRPr="002455F2">
        <w:rPr>
          <w:color w:val="1F497D" w:themeColor="text2"/>
          <w:lang w:val="en-US"/>
        </w:rPr>
        <w:t xml:space="preserve"> at LHO during noisy and quiet times can differ at some frequencies by as much as three orders of magnitude. Such extreme differences do not exist at the Homestake site.</w:t>
      </w:r>
    </w:p>
    <w:p w:rsidR="00366D52" w:rsidRPr="00D26653" w:rsidRDefault="00366D52" w:rsidP="000B4B36">
      <w:pPr>
        <w:jc w:val="both"/>
        <w:rPr>
          <w:lang w:val="en-US"/>
        </w:rPr>
      </w:pPr>
    </w:p>
    <w:p w:rsidR="00D26653" w:rsidRDefault="00D26653" w:rsidP="00D26653">
      <w:pPr>
        <w:keepNext/>
        <w:jc w:val="both"/>
      </w:pPr>
      <w:r w:rsidRPr="00D26653">
        <w:rPr>
          <w:noProof/>
          <w:lang w:eastAsia="it-IT"/>
        </w:rPr>
        <w:drawing>
          <wp:inline distT="0" distB="0" distL="0" distR="0">
            <wp:extent cx="6709410" cy="4137660"/>
            <wp:effectExtent l="19050" t="0" r="0" b="0"/>
            <wp:docPr id="64" name="Immagine 7"/>
            <wp:cNvGraphicFramePr/>
            <a:graphic xmlns:a="http://schemas.openxmlformats.org/drawingml/2006/main">
              <a:graphicData uri="http://schemas.openxmlformats.org/drawingml/2006/picture">
                <pic:pic xmlns:pic="http://schemas.openxmlformats.org/drawingml/2006/picture">
                  <pic:nvPicPr>
                    <pic:cNvPr id="100354" name="Picture 2"/>
                    <pic:cNvPicPr>
                      <a:picLocks noChangeAspect="1" noChangeArrowheads="1"/>
                    </pic:cNvPicPr>
                  </pic:nvPicPr>
                  <pic:blipFill>
                    <a:blip r:embed="rId70"/>
                    <a:srcRect/>
                    <a:stretch>
                      <a:fillRect/>
                    </a:stretch>
                  </pic:blipFill>
                  <pic:spPr bwMode="auto">
                    <a:xfrm>
                      <a:off x="0" y="0"/>
                      <a:ext cx="6711052" cy="4138672"/>
                    </a:xfrm>
                    <a:prstGeom prst="rect">
                      <a:avLst/>
                    </a:prstGeom>
                    <a:noFill/>
                    <a:ln w="9525">
                      <a:noFill/>
                      <a:miter lim="800000"/>
                      <a:headEnd/>
                      <a:tailEnd/>
                    </a:ln>
                  </pic:spPr>
                </pic:pic>
              </a:graphicData>
            </a:graphic>
          </wp:inline>
        </w:drawing>
      </w:r>
    </w:p>
    <w:p w:rsidR="00D26653" w:rsidRPr="002455F2" w:rsidRDefault="00D26653" w:rsidP="00D26653">
      <w:pPr>
        <w:pStyle w:val="Didascalia"/>
        <w:jc w:val="both"/>
        <w:rPr>
          <w:color w:val="1F497D" w:themeColor="text2"/>
          <w:lang w:val="en-US"/>
        </w:rPr>
      </w:pPr>
      <w:r w:rsidRPr="002455F2">
        <w:rPr>
          <w:color w:val="1F497D" w:themeColor="text2"/>
          <w:lang w:val="en-US"/>
        </w:rPr>
        <w:t>Figure 62: average Homestake seismic data from 4100ft level and Peterson NLNM. Between 0.1 and 1 Hz Homestake data is quieter than the lowest Earth noise recorded by Peterson</w:t>
      </w:r>
    </w:p>
    <w:p w:rsidR="00D26653" w:rsidRPr="00D26653" w:rsidRDefault="00D26653" w:rsidP="000B4B36">
      <w:pPr>
        <w:jc w:val="both"/>
        <w:rPr>
          <w:lang w:val="en-US"/>
        </w:rPr>
      </w:pPr>
    </w:p>
    <w:p w:rsidR="002455F2" w:rsidRPr="001D5661" w:rsidRDefault="002455F2" w:rsidP="002455F2">
      <w:pPr>
        <w:jc w:val="both"/>
        <w:rPr>
          <w:b/>
          <w:sz w:val="24"/>
          <w:szCs w:val="24"/>
          <w:lang w:val="en-US"/>
        </w:rPr>
      </w:pPr>
      <w:r w:rsidRPr="001D5661">
        <w:rPr>
          <w:b/>
          <w:sz w:val="24"/>
          <w:szCs w:val="24"/>
          <w:lang w:val="en-US"/>
        </w:rPr>
        <w:t>VIII. Future plans</w:t>
      </w:r>
    </w:p>
    <w:p w:rsidR="001D5661" w:rsidRDefault="002455F2" w:rsidP="000B4B36">
      <w:pPr>
        <w:jc w:val="both"/>
        <w:rPr>
          <w:lang w:val="en-US"/>
        </w:rPr>
      </w:pPr>
      <w:r w:rsidRPr="002455F2">
        <w:rPr>
          <w:lang w:val="en-US"/>
        </w:rPr>
        <w:t>The LIGO timing system wi</w:t>
      </w:r>
      <w:r>
        <w:rPr>
          <w:lang w:val="en-US"/>
        </w:rPr>
        <w:t xml:space="preserve">ll take care of our timing problems and allow for more accurate correlation measurements between 610 m </w:t>
      </w:r>
      <w:r w:rsidR="00113492">
        <w:rPr>
          <w:lang w:val="en-US"/>
        </w:rPr>
        <w:t xml:space="preserve">and 1250 m </w:t>
      </w:r>
      <w:r>
        <w:rPr>
          <w:lang w:val="en-US"/>
        </w:rPr>
        <w:t>level stations</w:t>
      </w:r>
      <w:r w:rsidR="00113492">
        <w:rPr>
          <w:lang w:val="en-US"/>
        </w:rPr>
        <w:t>.</w:t>
      </w:r>
      <w:r w:rsidR="00916D02">
        <w:rPr>
          <w:lang w:val="en-US"/>
        </w:rPr>
        <w:t xml:space="preserve"> </w:t>
      </w:r>
      <w:r w:rsidR="003369BE">
        <w:rPr>
          <w:lang w:val="en-US"/>
        </w:rPr>
        <w:t xml:space="preserve">These measurements with a good timing </w:t>
      </w:r>
      <w:r w:rsidR="00916D02">
        <w:rPr>
          <w:lang w:val="en-US"/>
        </w:rPr>
        <w:t xml:space="preserve">will </w:t>
      </w:r>
      <w:r w:rsidR="003369BE">
        <w:rPr>
          <w:lang w:val="en-US"/>
        </w:rPr>
        <w:t>be helpful to</w:t>
      </w:r>
      <w:r w:rsidR="00916D02">
        <w:rPr>
          <w:lang w:val="en-US"/>
        </w:rPr>
        <w:t xml:space="preserve"> modeling</w:t>
      </w:r>
      <w:r w:rsidR="00696450">
        <w:rPr>
          <w:lang w:val="en-US"/>
        </w:rPr>
        <w:t xml:space="preserve"> the</w:t>
      </w:r>
      <w:r w:rsidR="00916D02">
        <w:rPr>
          <w:lang w:val="en-US"/>
        </w:rPr>
        <w:t xml:space="preserve"> seismic activity.</w:t>
      </w:r>
      <w:r w:rsidR="00113492">
        <w:rPr>
          <w:lang w:val="en-US"/>
        </w:rPr>
        <w:t xml:space="preserve"> </w:t>
      </w:r>
      <w:r w:rsidR="00113492" w:rsidRPr="00113492">
        <w:rPr>
          <w:lang w:val="en-US"/>
        </w:rPr>
        <w:t>At 1250 m level two stations will</w:t>
      </w:r>
      <w:r w:rsidR="004052F5">
        <w:rPr>
          <w:lang w:val="en-US"/>
        </w:rPr>
        <w:t xml:space="preserve"> soon </w:t>
      </w:r>
      <w:r w:rsidR="00113492" w:rsidRPr="00113492">
        <w:rPr>
          <w:lang w:val="en-US"/>
        </w:rPr>
        <w:t>be connected</w:t>
      </w:r>
      <w:r w:rsidR="004052F5">
        <w:rPr>
          <w:lang w:val="en-US"/>
        </w:rPr>
        <w:t xml:space="preserve"> </w:t>
      </w:r>
      <w:r w:rsidR="00113492" w:rsidRPr="00113492">
        <w:rPr>
          <w:lang w:val="en-US"/>
        </w:rPr>
        <w:t>to t</w:t>
      </w:r>
      <w:r w:rsidR="00113492">
        <w:rPr>
          <w:lang w:val="en-US"/>
        </w:rPr>
        <w:t>he network and their data will become available.</w:t>
      </w:r>
      <w:r w:rsidR="00916D02">
        <w:rPr>
          <w:lang w:val="en-US"/>
        </w:rPr>
        <w:t xml:space="preserve"> </w:t>
      </w:r>
      <w:r w:rsidR="00916D02" w:rsidRPr="00916D02">
        <w:rPr>
          <w:lang w:val="en-US"/>
        </w:rPr>
        <w:t xml:space="preserve">Horizontal seismometer prototypes will be </w:t>
      </w:r>
      <w:r w:rsidR="004052F5">
        <w:rPr>
          <w:lang w:val="en-US"/>
        </w:rPr>
        <w:t>made</w:t>
      </w:r>
      <w:r w:rsidR="00916D02" w:rsidRPr="00916D02">
        <w:rPr>
          <w:lang w:val="en-US"/>
        </w:rPr>
        <w:t xml:space="preserve"> operative</w:t>
      </w:r>
      <w:r w:rsidR="004052F5">
        <w:rPr>
          <w:lang w:val="en-US"/>
        </w:rPr>
        <w:t xml:space="preserve"> again</w:t>
      </w:r>
      <w:r w:rsidR="00916D02" w:rsidRPr="00916D02">
        <w:rPr>
          <w:lang w:val="en-US"/>
        </w:rPr>
        <w:t xml:space="preserve"> by </w:t>
      </w:r>
      <w:r w:rsidR="00916D02">
        <w:rPr>
          <w:lang w:val="en-US"/>
        </w:rPr>
        <w:t xml:space="preserve">repairing or </w:t>
      </w:r>
      <w:r w:rsidR="00916D02" w:rsidRPr="00916D02">
        <w:rPr>
          <w:lang w:val="en-US"/>
        </w:rPr>
        <w:t>replacing</w:t>
      </w:r>
      <w:r w:rsidR="00916D02">
        <w:rPr>
          <w:lang w:val="en-US"/>
        </w:rPr>
        <w:t xml:space="preserve"> their DC power supply, and new prototypes could join the array. </w:t>
      </w:r>
      <w:r w:rsidR="00916D02" w:rsidRPr="00916D02">
        <w:rPr>
          <w:lang w:val="en-US"/>
        </w:rPr>
        <w:t xml:space="preserve">The old station at 610 m level will be offline for </w:t>
      </w:r>
      <w:r w:rsidR="00916D02">
        <w:rPr>
          <w:lang w:val="en-US"/>
        </w:rPr>
        <w:t>some time in autumn, due to consolidation works needed in the cavity which hosts the station. Hopefully</w:t>
      </w:r>
      <w:r w:rsidR="004052F5">
        <w:rPr>
          <w:lang w:val="en-US"/>
        </w:rPr>
        <w:t xml:space="preserve"> </w:t>
      </w:r>
      <w:r w:rsidR="004052F5" w:rsidRPr="004052F5">
        <w:rPr>
          <w:lang w:val="en-US"/>
        </w:rPr>
        <w:t>new funding from NSF will allow construction of</w:t>
      </w:r>
      <w:r w:rsidR="00916D02">
        <w:rPr>
          <w:lang w:val="en-US"/>
        </w:rPr>
        <w:t xml:space="preserve"> new stations next year at Homestake, </w:t>
      </w:r>
      <w:r w:rsidR="004052F5" w:rsidRPr="004052F5">
        <w:rPr>
          <w:lang w:val="en-US"/>
        </w:rPr>
        <w:t xml:space="preserve">possibly </w:t>
      </w:r>
      <w:r w:rsidR="00BF0F79">
        <w:rPr>
          <w:lang w:val="en-US"/>
        </w:rPr>
        <w:t xml:space="preserve">also </w:t>
      </w:r>
      <w:r w:rsidR="00916D02" w:rsidRPr="00916D02">
        <w:rPr>
          <w:lang w:val="en-US"/>
        </w:rPr>
        <w:t>expanding</w:t>
      </w:r>
      <w:r w:rsidR="00BF0F79">
        <w:rPr>
          <w:lang w:val="en-US"/>
        </w:rPr>
        <w:t xml:space="preserve"> the</w:t>
      </w:r>
      <w:r w:rsidR="00916D02" w:rsidRPr="00916D02">
        <w:rPr>
          <w:lang w:val="en-US"/>
        </w:rPr>
        <w:t xml:space="preserve"> collaboration with the</w:t>
      </w:r>
      <w:r w:rsidR="00916D02">
        <w:rPr>
          <w:lang w:val="en-US"/>
        </w:rPr>
        <w:t xml:space="preserve"> ET</w:t>
      </w:r>
      <w:r w:rsidR="00916D02" w:rsidRPr="00916D02">
        <w:rPr>
          <w:lang w:val="en-US"/>
        </w:rPr>
        <w:t xml:space="preserve"> Dutch group</w:t>
      </w:r>
      <w:r w:rsidR="004052F5">
        <w:rPr>
          <w:lang w:val="en-US"/>
        </w:rPr>
        <w:t>, which already provided</w:t>
      </w:r>
      <w:r w:rsidR="00916D02">
        <w:rPr>
          <w:lang w:val="en-US"/>
        </w:rPr>
        <w:t xml:space="preserve"> two seismometers </w:t>
      </w:r>
      <w:r w:rsidR="004052F5">
        <w:rPr>
          <w:lang w:val="en-US"/>
        </w:rPr>
        <w:t xml:space="preserve">to </w:t>
      </w:r>
      <w:r w:rsidR="00916D02">
        <w:rPr>
          <w:lang w:val="en-US"/>
        </w:rPr>
        <w:t>the array.</w:t>
      </w:r>
    </w:p>
    <w:p w:rsidR="001D5661" w:rsidRDefault="001D5661" w:rsidP="001D5661">
      <w:pPr>
        <w:jc w:val="both"/>
        <w:rPr>
          <w:b/>
          <w:sz w:val="24"/>
          <w:szCs w:val="24"/>
          <w:lang w:val="en-US"/>
        </w:rPr>
      </w:pPr>
    </w:p>
    <w:p w:rsidR="001D5661" w:rsidRPr="001D5661" w:rsidRDefault="001D5661" w:rsidP="001D5661">
      <w:pPr>
        <w:jc w:val="both"/>
        <w:rPr>
          <w:b/>
          <w:sz w:val="24"/>
          <w:szCs w:val="24"/>
          <w:lang w:val="en-US"/>
        </w:rPr>
      </w:pPr>
      <w:r w:rsidRPr="001D5661">
        <w:rPr>
          <w:b/>
          <w:sz w:val="24"/>
          <w:szCs w:val="24"/>
          <w:lang w:val="en-US"/>
        </w:rPr>
        <w:t xml:space="preserve">VIII. </w:t>
      </w:r>
      <w:r>
        <w:rPr>
          <w:b/>
          <w:sz w:val="24"/>
          <w:szCs w:val="24"/>
          <w:lang w:val="en-US"/>
        </w:rPr>
        <w:t>Acknowledgments</w:t>
      </w:r>
    </w:p>
    <w:p w:rsidR="00E761D7" w:rsidRDefault="001D5661" w:rsidP="00927178">
      <w:pPr>
        <w:jc w:val="both"/>
        <w:rPr>
          <w:lang w:val="en-US"/>
        </w:rPr>
      </w:pPr>
      <w:r>
        <w:rPr>
          <w:lang w:val="en-US"/>
        </w:rPr>
        <w:t>First of all I want to thank CalTech and INFN for the opportunity they g</w:t>
      </w:r>
      <w:r w:rsidR="00BF0F79">
        <w:rPr>
          <w:lang w:val="en-US"/>
        </w:rPr>
        <w:t xml:space="preserve">ave me to work at this project and </w:t>
      </w:r>
      <w:r>
        <w:rPr>
          <w:lang w:val="en-US"/>
        </w:rPr>
        <w:t xml:space="preserve">LIGO and Sanford Underground Laboratory for the support and loan of equipments; especially I want to thank my mentor at Homestake </w:t>
      </w:r>
      <w:r w:rsidR="00696450">
        <w:rPr>
          <w:lang w:val="en-US"/>
        </w:rPr>
        <w:t>Jan Harms:</w:t>
      </w:r>
      <w:r w:rsidR="00BA4B41">
        <w:rPr>
          <w:lang w:val="en-US"/>
        </w:rPr>
        <w:t xml:space="preserve"> without his dedication to this work the results here presented would not have</w:t>
      </w:r>
      <w:r w:rsidR="00696450">
        <w:rPr>
          <w:lang w:val="en-US"/>
        </w:rPr>
        <w:t xml:space="preserve"> been</w:t>
      </w:r>
      <w:r w:rsidR="00BA4B41">
        <w:rPr>
          <w:lang w:val="en-US"/>
        </w:rPr>
        <w:t xml:space="preserve"> achieved; I’m also grateful to my CalTech mentor R</w:t>
      </w:r>
      <w:r w:rsidR="00696450">
        <w:rPr>
          <w:lang w:val="en-US"/>
        </w:rPr>
        <w:t xml:space="preserve">iccardo De Salvo, who has been </w:t>
      </w:r>
      <w:r w:rsidR="00696450">
        <w:rPr>
          <w:lang w:val="en-US"/>
        </w:rPr>
        <w:lastRenderedPageBreak/>
        <w:t>helping</w:t>
      </w:r>
      <w:r w:rsidR="00BA4B41">
        <w:rPr>
          <w:lang w:val="en-US"/>
        </w:rPr>
        <w:t xml:space="preserve"> me since I arrived to CalTech this year; I</w:t>
      </w:r>
      <w:r w:rsidR="00696450">
        <w:rPr>
          <w:lang w:val="en-US"/>
        </w:rPr>
        <w:t>’m thankful to</w:t>
      </w:r>
      <w:r w:rsidR="00BA4B41">
        <w:rPr>
          <w:lang w:val="en-US"/>
        </w:rPr>
        <w:t xml:space="preserve"> my University mentor Fulvio Ricci</w:t>
      </w:r>
      <w:r w:rsidR="00A66FC7">
        <w:rPr>
          <w:lang w:val="en-US"/>
        </w:rPr>
        <w:t>,</w:t>
      </w:r>
      <w:r w:rsidR="00BA4B41">
        <w:rPr>
          <w:lang w:val="en-US"/>
        </w:rPr>
        <w:t xml:space="preserve"> who </w:t>
      </w:r>
      <w:r w:rsidR="00BA4B41" w:rsidRPr="00BA4B41">
        <w:rPr>
          <w:lang w:val="en-US"/>
        </w:rPr>
        <w:t xml:space="preserve">gave me the opportunity to </w:t>
      </w:r>
      <w:r w:rsidR="00696450">
        <w:rPr>
          <w:lang w:val="en-US"/>
        </w:rPr>
        <w:t>take part in</w:t>
      </w:r>
      <w:r w:rsidR="00BA4B41" w:rsidRPr="00BA4B41">
        <w:rPr>
          <w:lang w:val="en-US"/>
        </w:rPr>
        <w:t xml:space="preserve"> this </w:t>
      </w:r>
      <w:r w:rsidR="00BA4B41">
        <w:rPr>
          <w:lang w:val="en-US"/>
        </w:rPr>
        <w:t xml:space="preserve">student </w:t>
      </w:r>
      <w:r w:rsidR="00BA4B41" w:rsidRPr="00BA4B41">
        <w:rPr>
          <w:lang w:val="en-US"/>
        </w:rPr>
        <w:t>exchange</w:t>
      </w:r>
      <w:r w:rsidR="000D3D18">
        <w:rPr>
          <w:lang w:val="en-US"/>
        </w:rPr>
        <w:t>,</w:t>
      </w:r>
      <w:r w:rsidR="00A66FC7">
        <w:rPr>
          <w:lang w:val="en-US"/>
        </w:rPr>
        <w:t xml:space="preserve"> to Vuk Mandic at University of Minnesota,</w:t>
      </w:r>
      <w:r w:rsidR="00696450">
        <w:rPr>
          <w:lang w:val="en-US"/>
        </w:rPr>
        <w:t xml:space="preserve"> to</w:t>
      </w:r>
      <w:r w:rsidR="00F32597">
        <w:rPr>
          <w:lang w:val="en-US"/>
        </w:rPr>
        <w:t xml:space="preserve"> </w:t>
      </w:r>
      <w:r w:rsidR="00F32597" w:rsidRPr="00F32597">
        <w:rPr>
          <w:lang w:val="en-US"/>
        </w:rPr>
        <w:t>Cindy Akutagawa</w:t>
      </w:r>
      <w:r w:rsidR="00F32597">
        <w:rPr>
          <w:lang w:val="en-US"/>
        </w:rPr>
        <w:t xml:space="preserve"> and </w:t>
      </w:r>
      <w:r w:rsidR="00696450">
        <w:rPr>
          <w:lang w:val="en-US"/>
        </w:rPr>
        <w:t xml:space="preserve">to </w:t>
      </w:r>
      <w:r w:rsidR="00F32597" w:rsidRPr="00F32597">
        <w:rPr>
          <w:lang w:val="en-US"/>
        </w:rPr>
        <w:t>Marilyn Wright</w:t>
      </w:r>
      <w:r w:rsidR="00F32597">
        <w:rPr>
          <w:lang w:val="en-US"/>
        </w:rPr>
        <w:t xml:space="preserve"> at CalTech</w:t>
      </w:r>
      <w:r w:rsidR="00BA4B41">
        <w:rPr>
          <w:lang w:val="en-US"/>
        </w:rPr>
        <w:t>;</w:t>
      </w:r>
      <w:r w:rsidR="00F32597">
        <w:rPr>
          <w:lang w:val="en-US"/>
        </w:rPr>
        <w:t xml:space="preserve"> I </w:t>
      </w:r>
      <w:r w:rsidR="00696450">
        <w:rPr>
          <w:lang w:val="en-US"/>
        </w:rPr>
        <w:t>also want</w:t>
      </w:r>
      <w:r w:rsidR="00872C01">
        <w:rPr>
          <w:lang w:val="en-US"/>
        </w:rPr>
        <w:t xml:space="preserve"> to</w:t>
      </w:r>
      <w:r w:rsidR="00F32597">
        <w:rPr>
          <w:lang w:val="en-US"/>
        </w:rPr>
        <w:t xml:space="preserve"> thank for their collaboration at Homestake</w:t>
      </w:r>
      <w:r w:rsidR="00CB5624" w:rsidRPr="00BA4B41">
        <w:rPr>
          <w:lang w:val="en-US"/>
        </w:rPr>
        <w:t xml:space="preserve"> </w:t>
      </w:r>
      <w:r w:rsidR="00F32597">
        <w:rPr>
          <w:lang w:val="en-US"/>
        </w:rPr>
        <w:t xml:space="preserve">my colleague </w:t>
      </w:r>
      <w:r w:rsidR="00CB5624" w:rsidRPr="00BA4B41">
        <w:rPr>
          <w:lang w:val="en-US"/>
        </w:rPr>
        <w:t>Thomas</w:t>
      </w:r>
      <w:r w:rsidR="00F32597">
        <w:rPr>
          <w:lang w:val="en-US"/>
        </w:rPr>
        <w:t xml:space="preserve"> O’Keefe and everyone who helped us in our work at Sanford Laboratory: science-liaison director Jaret Heise, geologists Tom Trancynger and Reggie Walters, </w:t>
      </w:r>
      <w:r w:rsidR="00BF0F79">
        <w:rPr>
          <w:lang w:val="en-US"/>
        </w:rPr>
        <w:t xml:space="preserve">visitor </w:t>
      </w:r>
      <w:r w:rsidR="00F32597">
        <w:rPr>
          <w:lang w:val="en-US"/>
        </w:rPr>
        <w:t xml:space="preserve">physicists Jo van den Brand, Mark Beker from </w:t>
      </w:r>
      <w:r w:rsidR="00696450">
        <w:rPr>
          <w:lang w:val="en-US"/>
        </w:rPr>
        <w:t>Nikh</w:t>
      </w:r>
      <w:r w:rsidR="00E36C68">
        <w:rPr>
          <w:lang w:val="en-US"/>
        </w:rPr>
        <w:t>ef (</w:t>
      </w:r>
      <w:r w:rsidR="00F32597">
        <w:rPr>
          <w:lang w:val="en-US"/>
        </w:rPr>
        <w:t>Netherlands</w:t>
      </w:r>
      <w:r w:rsidR="00E36C68">
        <w:rPr>
          <w:lang w:val="en-US"/>
        </w:rPr>
        <w:t>)</w:t>
      </w:r>
      <w:r w:rsidR="00F32597">
        <w:rPr>
          <w:lang w:val="en-US"/>
        </w:rPr>
        <w:t xml:space="preserve"> and Guido Muller from University of Florida; </w:t>
      </w:r>
      <w:r w:rsidR="000D2B35" w:rsidRPr="00BA4B41">
        <w:rPr>
          <w:lang w:val="en-US"/>
        </w:rPr>
        <w:t xml:space="preserve"> </w:t>
      </w:r>
      <w:r w:rsidR="000D3D18">
        <w:rPr>
          <w:lang w:val="en-US"/>
        </w:rPr>
        <w:t>finally I want to thank Fausto Acernese and Fabrizio Barone for their confidence in me working with their</w:t>
      </w:r>
      <w:r w:rsidR="00BF0F79">
        <w:rPr>
          <w:lang w:val="en-US"/>
        </w:rPr>
        <w:t xml:space="preserve"> horizontal</w:t>
      </w:r>
      <w:r w:rsidR="000D3D18">
        <w:rPr>
          <w:lang w:val="en-US"/>
        </w:rPr>
        <w:t xml:space="preserve"> seismometers.</w:t>
      </w: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Default="000D3D18" w:rsidP="00927178">
      <w:pPr>
        <w:jc w:val="both"/>
        <w:rPr>
          <w:lang w:val="en-US"/>
        </w:rPr>
      </w:pPr>
    </w:p>
    <w:p w:rsidR="000D3D18" w:rsidRPr="00BA4B41" w:rsidRDefault="000D3D18" w:rsidP="00927178">
      <w:pPr>
        <w:jc w:val="both"/>
        <w:rPr>
          <w:lang w:val="en-US"/>
        </w:rPr>
      </w:pPr>
    </w:p>
    <w:sdt>
      <w:sdtPr>
        <w:rPr>
          <w:rFonts w:asciiTheme="minorHAnsi" w:eastAsiaTheme="minorHAnsi" w:hAnsiTheme="minorHAnsi" w:cstheme="minorBidi"/>
          <w:b w:val="0"/>
          <w:bCs w:val="0"/>
          <w:color w:val="auto"/>
          <w:sz w:val="22"/>
          <w:szCs w:val="22"/>
        </w:rPr>
        <w:id w:val="5660423"/>
        <w:docPartObj>
          <w:docPartGallery w:val="Bibliographies"/>
          <w:docPartUnique/>
        </w:docPartObj>
      </w:sdtPr>
      <w:sdtEndPr>
        <w:rPr>
          <w:lang w:val="en-US"/>
        </w:rPr>
      </w:sdtEndPr>
      <w:sdtContent>
        <w:p w:rsidR="00EA11C8" w:rsidRDefault="00432569">
          <w:pPr>
            <w:pStyle w:val="Titolo1"/>
            <w:rPr>
              <w:lang w:val="en-US"/>
            </w:rPr>
          </w:pPr>
          <w:r>
            <w:rPr>
              <w:lang w:val="en-US"/>
            </w:rPr>
            <w:t>References:</w:t>
          </w:r>
        </w:p>
        <w:p w:rsidR="00EA11C8" w:rsidRPr="00EA11C8" w:rsidRDefault="00EA11C8" w:rsidP="00EA11C8">
          <w:pPr>
            <w:rPr>
              <w:lang w:val="en-US"/>
            </w:rPr>
          </w:pPr>
        </w:p>
        <w:sdt>
          <w:sdtPr>
            <w:rPr>
              <w:lang w:val="en-US"/>
            </w:rPr>
            <w:id w:val="111145805"/>
            <w:bibliography/>
          </w:sdtPr>
          <w:sdtContent>
            <w:p w:rsidR="00EB71AC" w:rsidRDefault="009B29F4" w:rsidP="00EB71AC">
              <w:pPr>
                <w:pStyle w:val="Bibliografia"/>
                <w:rPr>
                  <w:noProof/>
                  <w:lang w:val="en-US"/>
                </w:rPr>
              </w:pPr>
              <w:r w:rsidRPr="00EA11C8">
                <w:rPr>
                  <w:lang w:val="en-US"/>
                </w:rPr>
                <w:fldChar w:fldCharType="begin"/>
              </w:r>
              <w:r w:rsidR="00EA11C8" w:rsidRPr="00EA11C8">
                <w:rPr>
                  <w:lang w:val="en-US"/>
                </w:rPr>
                <w:instrText xml:space="preserve"> BIBLIOGRAPHY </w:instrText>
              </w:r>
              <w:r w:rsidRPr="00EA11C8">
                <w:rPr>
                  <w:lang w:val="en-US"/>
                </w:rPr>
                <w:fldChar w:fldCharType="separate"/>
              </w:r>
              <w:r w:rsidR="00EB71AC" w:rsidRPr="000D3D18">
                <w:rPr>
                  <w:b/>
                  <w:noProof/>
                  <w:lang w:val="en-US"/>
                </w:rPr>
                <w:t>1</w:t>
              </w:r>
              <w:r w:rsidR="00EB71AC">
                <w:rPr>
                  <w:noProof/>
                  <w:lang w:val="en-US"/>
                </w:rPr>
                <w:t xml:space="preserve">. </w:t>
              </w:r>
              <w:r w:rsidR="00EB71AC">
                <w:rPr>
                  <w:i/>
                  <w:iCs/>
                  <w:noProof/>
                  <w:lang w:val="en-US"/>
                </w:rPr>
                <w:t xml:space="preserve">Mitigating noise in future GW observatories in the 1−10 Hz. </w:t>
              </w:r>
              <w:r w:rsidR="00EB71AC">
                <w:rPr>
                  <w:b/>
                  <w:bCs/>
                  <w:noProof/>
                  <w:lang w:val="en-US"/>
                </w:rPr>
                <w:t>M. G. Becker et</w:t>
              </w:r>
              <w:r w:rsidR="000D3D18">
                <w:rPr>
                  <w:b/>
                  <w:bCs/>
                  <w:noProof/>
                  <w:lang w:val="en-US"/>
                </w:rPr>
                <w:t xml:space="preserve"> al</w:t>
              </w:r>
              <w:r w:rsidR="00EB71AC">
                <w:rPr>
                  <w:b/>
                  <w:bCs/>
                  <w:noProof/>
                  <w:lang w:val="en-US"/>
                </w:rPr>
                <w:t>.</w:t>
              </w:r>
              <w:r w:rsidR="00EB71AC">
                <w:rPr>
                  <w:noProof/>
                  <w:lang w:val="en-US"/>
                </w:rPr>
                <w:t xml:space="preserve"> 2009.</w:t>
              </w:r>
            </w:p>
            <w:p w:rsidR="00EB71AC" w:rsidRDefault="00EB71AC" w:rsidP="00EB71AC">
              <w:pPr>
                <w:pStyle w:val="Bibliografia"/>
                <w:rPr>
                  <w:noProof/>
                  <w:lang w:val="en-US"/>
                </w:rPr>
              </w:pPr>
              <w:r w:rsidRPr="000D3D18">
                <w:rPr>
                  <w:b/>
                  <w:noProof/>
                  <w:lang w:val="en-US"/>
                </w:rPr>
                <w:t>2</w:t>
              </w:r>
              <w:r>
                <w:rPr>
                  <w:noProof/>
                  <w:lang w:val="en-US"/>
                </w:rPr>
                <w:t xml:space="preserve">. </w:t>
              </w:r>
              <w:r>
                <w:rPr>
                  <w:i/>
                  <w:iCs/>
                  <w:noProof/>
                  <w:lang w:val="en-US"/>
                </w:rPr>
                <w:t xml:space="preserve">Seismic studies at the Homestake mine in Lead, South Dakota. </w:t>
              </w:r>
              <w:r>
                <w:rPr>
                  <w:b/>
                  <w:bCs/>
                  <w:noProof/>
                  <w:lang w:val="en-US"/>
                </w:rPr>
                <w:t>J. Harms et</w:t>
              </w:r>
              <w:r w:rsidR="000D3D18">
                <w:rPr>
                  <w:b/>
                  <w:bCs/>
                  <w:noProof/>
                  <w:lang w:val="en-US"/>
                </w:rPr>
                <w:t xml:space="preserve"> al</w:t>
              </w:r>
              <w:r>
                <w:rPr>
                  <w:b/>
                  <w:bCs/>
                  <w:noProof/>
                  <w:lang w:val="en-US"/>
                </w:rPr>
                <w:t>.</w:t>
              </w:r>
              <w:r>
                <w:rPr>
                  <w:noProof/>
                  <w:lang w:val="en-US"/>
                </w:rPr>
                <w:t xml:space="preserve"> 2009. LIGO-T0900112-v1-H.</w:t>
              </w:r>
            </w:p>
            <w:p w:rsidR="00EB71AC" w:rsidRDefault="00EB71AC" w:rsidP="00EB71AC">
              <w:pPr>
                <w:pStyle w:val="Bibliografia"/>
                <w:rPr>
                  <w:noProof/>
                  <w:lang w:val="en-US"/>
                </w:rPr>
              </w:pPr>
              <w:r w:rsidRPr="000D3D18">
                <w:rPr>
                  <w:b/>
                  <w:noProof/>
                  <w:lang w:val="en-US"/>
                </w:rPr>
                <w:t>3</w:t>
              </w:r>
              <w:r>
                <w:rPr>
                  <w:noProof/>
                  <w:lang w:val="en-US"/>
                </w:rPr>
                <w:t xml:space="preserve">. </w:t>
              </w:r>
              <w:r>
                <w:rPr>
                  <w:i/>
                  <w:iCs/>
                  <w:noProof/>
                  <w:lang w:val="en-US"/>
                </w:rPr>
                <w:t xml:space="preserve">Synopsis of Homestake Mine Geology. </w:t>
              </w:r>
              <w:r w:rsidR="00BF0F79">
                <w:rPr>
                  <w:b/>
                  <w:bCs/>
                  <w:noProof/>
                  <w:lang w:val="en-US"/>
                </w:rPr>
                <w:t>T.J. Campbell</w:t>
              </w:r>
              <w:r>
                <w:rPr>
                  <w:noProof/>
                  <w:lang w:val="en-US"/>
                </w:rPr>
                <w:t xml:space="preserve"> </w:t>
              </w:r>
            </w:p>
            <w:p w:rsidR="00EB71AC" w:rsidRPr="000D3D18" w:rsidRDefault="00EB71AC" w:rsidP="00EB71AC">
              <w:pPr>
                <w:pStyle w:val="Bibliografia"/>
                <w:rPr>
                  <w:b/>
                  <w:bCs/>
                  <w:noProof/>
                  <w:lang w:val="en-US"/>
                </w:rPr>
              </w:pPr>
              <w:r w:rsidRPr="000D3D18">
                <w:rPr>
                  <w:b/>
                  <w:noProof/>
                  <w:lang w:val="en-US"/>
                </w:rPr>
                <w:t>4</w:t>
              </w:r>
              <w:r>
                <w:rPr>
                  <w:noProof/>
                  <w:lang w:val="en-US"/>
                </w:rPr>
                <w:t xml:space="preserve">. </w:t>
              </w:r>
              <w:r>
                <w:rPr>
                  <w:i/>
                  <w:iCs/>
                  <w:noProof/>
                  <w:lang w:val="en-US"/>
                </w:rPr>
                <w:t xml:space="preserve">Tunable mechanical monolithic horizontal accelerometer for low frequency seismic noise measurement. </w:t>
              </w:r>
              <w:r>
                <w:rPr>
                  <w:b/>
                  <w:bCs/>
                  <w:noProof/>
                  <w:lang w:val="en-US"/>
                </w:rPr>
                <w:t>F. Acernese et</w:t>
              </w:r>
              <w:r w:rsidR="000D3D18">
                <w:rPr>
                  <w:b/>
                  <w:bCs/>
                  <w:noProof/>
                  <w:lang w:val="en-US"/>
                </w:rPr>
                <w:t xml:space="preserve"> al</w:t>
              </w:r>
              <w:r>
                <w:rPr>
                  <w:b/>
                  <w:bCs/>
                  <w:noProof/>
                  <w:lang w:val="en-US"/>
                </w:rPr>
                <w:t>.</w:t>
              </w:r>
              <w:r w:rsidR="000D3D18">
                <w:rPr>
                  <w:noProof/>
                  <w:lang w:val="en-US"/>
                </w:rPr>
                <w:t xml:space="preserve"> -</w:t>
              </w:r>
              <w:r>
                <w:rPr>
                  <w:noProof/>
                  <w:lang w:val="en-US"/>
                </w:rPr>
                <w:t xml:space="preserve"> Sensors and Smart Structures Technologies for Civil, Mechanical, and Aerospace Systems, 2009. Proc. of SPIE Vol. 7292 72922J-1.</w:t>
              </w:r>
            </w:p>
            <w:p w:rsidR="00EA11C8" w:rsidRPr="00EA11C8" w:rsidRDefault="009B29F4" w:rsidP="00EB71AC">
              <w:pPr>
                <w:rPr>
                  <w:lang w:val="en-US"/>
                </w:rPr>
              </w:pPr>
              <w:r w:rsidRPr="00EA11C8">
                <w:rPr>
                  <w:lang w:val="en-US"/>
                </w:rPr>
                <w:fldChar w:fldCharType="end"/>
              </w:r>
            </w:p>
          </w:sdtContent>
        </w:sdt>
      </w:sdtContent>
    </w:sdt>
    <w:p w:rsidR="00EA11C8" w:rsidRDefault="00EA11C8" w:rsidP="00EA11C8"/>
    <w:p w:rsidR="00D80214" w:rsidRDefault="00D80214" w:rsidP="00D80214"/>
    <w:p w:rsidR="00D80214" w:rsidRDefault="00D80214" w:rsidP="00927178">
      <w:pPr>
        <w:jc w:val="both"/>
        <w:rPr>
          <w:lang w:val="en-US"/>
        </w:rPr>
      </w:pPr>
    </w:p>
    <w:sectPr w:rsidR="00D80214" w:rsidSect="005C0E35">
      <w:headerReference w:type="default" r:id="rId71"/>
      <w:footerReference w:type="default" r:id="rId72"/>
      <w:headerReference w:type="first" r:id="rId73"/>
      <w:pgSz w:w="11906" w:h="16838" w:code="9"/>
      <w:pgMar w:top="1418" w:right="1134" w:bottom="1134" w:left="1134" w:header="720" w:footer="283"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3464" w:rsidRDefault="00AA3464" w:rsidP="00E761D7">
      <w:pPr>
        <w:spacing w:after="0" w:line="240" w:lineRule="auto"/>
      </w:pPr>
      <w:r>
        <w:separator/>
      </w:r>
    </w:p>
  </w:endnote>
  <w:endnote w:type="continuationSeparator" w:id="1">
    <w:p w:rsidR="00AA3464" w:rsidRDefault="00AA3464" w:rsidP="00E761D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91815"/>
      <w:docPartObj>
        <w:docPartGallery w:val="Page Numbers (Bottom of Page)"/>
        <w:docPartUnique/>
      </w:docPartObj>
    </w:sdtPr>
    <w:sdtContent>
      <w:p w:rsidR="003A4FB4" w:rsidRDefault="009B29F4">
        <w:pPr>
          <w:pStyle w:val="Pidipagina"/>
          <w:jc w:val="right"/>
        </w:pPr>
        <w:fldSimple w:instr=" PAGE   \* MERGEFORMAT ">
          <w:r w:rsidR="00051CD0">
            <w:rPr>
              <w:noProof/>
            </w:rPr>
            <w:t>1</w:t>
          </w:r>
        </w:fldSimple>
      </w:p>
    </w:sdtContent>
  </w:sdt>
  <w:p w:rsidR="003A4FB4" w:rsidRDefault="003A4FB4">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3464" w:rsidRDefault="00AA3464" w:rsidP="00E761D7">
      <w:pPr>
        <w:spacing w:after="0" w:line="240" w:lineRule="auto"/>
      </w:pPr>
      <w:r>
        <w:separator/>
      </w:r>
    </w:p>
  </w:footnote>
  <w:footnote w:type="continuationSeparator" w:id="1">
    <w:p w:rsidR="00AA3464" w:rsidRDefault="00AA3464" w:rsidP="00E761D7">
      <w:pPr>
        <w:spacing w:after="0" w:line="240" w:lineRule="auto"/>
      </w:pPr>
      <w:r>
        <w:continuationSeparator/>
      </w:r>
    </w:p>
  </w:footnote>
  <w:footnote w:id="2">
    <w:p w:rsidR="005C0E35" w:rsidRPr="004B50D0" w:rsidRDefault="005C0E35" w:rsidP="005C0E35">
      <w:pPr>
        <w:pStyle w:val="Testonotaapidipagina"/>
        <w:rPr>
          <w:i/>
          <w:sz w:val="16"/>
          <w:szCs w:val="16"/>
        </w:rPr>
      </w:pPr>
      <w:r>
        <w:rPr>
          <w:rStyle w:val="Rimandonotaapidipagina"/>
        </w:rPr>
        <w:footnoteRef/>
      </w:r>
      <w:r w:rsidRPr="004B50D0">
        <w:t xml:space="preserve"> </w:t>
      </w:r>
      <w:r w:rsidRPr="004B50D0">
        <w:rPr>
          <w:i/>
          <w:sz w:val="16"/>
          <w:szCs w:val="16"/>
        </w:rPr>
        <w:t>Physics Department and INFN, Universita’ di Roma “Sapienza”, P.le Aldo Moro 2, 00185, Rome, Italy</w:t>
      </w:r>
    </w:p>
    <w:p w:rsidR="005C0E35" w:rsidRPr="005C0E35" w:rsidRDefault="005C0E35" w:rsidP="005C0E35">
      <w:pPr>
        <w:pStyle w:val="Testonotaapidipagina"/>
        <w:rPr>
          <w:i/>
          <w:lang w:val="en-US"/>
        </w:rPr>
      </w:pPr>
      <w:r w:rsidRPr="005C0E35">
        <w:rPr>
          <w:i/>
          <w:sz w:val="16"/>
          <w:szCs w:val="16"/>
          <w:lang w:val="en-US"/>
        </w:rPr>
        <w:t>California Institute of Technology – LIGO project, 1200 East California boulevard, Pasadena CA 91125</w:t>
      </w:r>
    </w:p>
  </w:footnote>
  <w:footnote w:id="3">
    <w:p w:rsidR="003A4FB4" w:rsidRPr="000B513F" w:rsidRDefault="003A4FB4">
      <w:pPr>
        <w:pStyle w:val="Testonotaapidipagina"/>
        <w:rPr>
          <w:lang w:val="en-US"/>
        </w:rPr>
      </w:pPr>
      <w:r>
        <w:rPr>
          <w:rStyle w:val="Rimandonotaapidipagina"/>
        </w:rPr>
        <w:footnoteRef/>
      </w:r>
      <w:r w:rsidRPr="000B513F">
        <w:rPr>
          <w:lang w:val="en-US"/>
        </w:rPr>
        <w:t xml:space="preserve"> </w:t>
      </w:r>
      <w:r w:rsidRPr="005259DE">
        <w:rPr>
          <w:sz w:val="18"/>
          <w:szCs w:val="18"/>
          <w:lang w:val="en-US"/>
        </w:rPr>
        <w:t>as the rigidity of a beam goes with the cube of its thickness, a double layer panel is at least 8 times more rigid than a single panel layer.  This greatly improves protection against low frequency air currents and pressure waves.  The thermal insulation is only doubled of course.</w:t>
      </w:r>
    </w:p>
  </w:footnote>
  <w:footnote w:id="4">
    <w:p w:rsidR="003A4FB4" w:rsidRPr="003369BE" w:rsidRDefault="003A4FB4">
      <w:pPr>
        <w:pStyle w:val="Testonotaapidipagina"/>
        <w:rPr>
          <w:sz w:val="18"/>
          <w:szCs w:val="18"/>
          <w:lang w:val="en-US"/>
        </w:rPr>
      </w:pPr>
      <w:r>
        <w:rPr>
          <w:rStyle w:val="Rimandonotaapidipagina"/>
        </w:rPr>
        <w:footnoteRef/>
      </w:r>
      <w:r w:rsidRPr="003369BE">
        <w:rPr>
          <w:lang w:val="en-US"/>
        </w:rPr>
        <w:t xml:space="preserve"> </w:t>
      </w:r>
      <w:r w:rsidRPr="003369BE">
        <w:rPr>
          <w:sz w:val="18"/>
          <w:szCs w:val="18"/>
          <w:lang w:val="en-US"/>
        </w:rPr>
        <w:t xml:space="preserve">Data acquisition system subsequently described was recently improved, for example </w:t>
      </w:r>
      <w:r>
        <w:rPr>
          <w:sz w:val="18"/>
          <w:szCs w:val="18"/>
          <w:lang w:val="en-US"/>
        </w:rPr>
        <w:t>connection is now managed by Knology</w:t>
      </w:r>
    </w:p>
  </w:footnote>
  <w:footnote w:id="5">
    <w:p w:rsidR="003A4FB4" w:rsidRPr="00156B1D" w:rsidRDefault="003A4FB4">
      <w:pPr>
        <w:pStyle w:val="Testonotaapidipagina"/>
        <w:rPr>
          <w:lang w:val="en-US"/>
        </w:rPr>
      </w:pPr>
      <w:r>
        <w:rPr>
          <w:rStyle w:val="Rimandonotaapidipagina"/>
        </w:rPr>
        <w:footnoteRef/>
      </w:r>
      <w:r w:rsidRPr="00156B1D">
        <w:rPr>
          <w:lang w:val="en-US"/>
        </w:rPr>
        <w:t xml:space="preserve"> </w:t>
      </w:r>
      <w:r w:rsidRPr="00392A39">
        <w:rPr>
          <w:sz w:val="18"/>
          <w:szCs w:val="18"/>
          <w:lang w:val="en-US"/>
        </w:rPr>
        <w:t>Network Time Protocol background processes</w:t>
      </w:r>
    </w:p>
  </w:footnote>
  <w:footnote w:id="6">
    <w:p w:rsidR="003A4FB4" w:rsidRDefault="003A4FB4">
      <w:pPr>
        <w:pStyle w:val="Testonotaapidipagina"/>
      </w:pPr>
      <w:r>
        <w:rPr>
          <w:rStyle w:val="Rimandonotaapidipagina"/>
        </w:rPr>
        <w:footnoteRef/>
      </w:r>
      <w:r w:rsidRPr="00392A39">
        <w:rPr>
          <w:lang w:val="en-US"/>
        </w:rPr>
        <w:t xml:space="preserve"> </w:t>
      </w:r>
      <w:r w:rsidRPr="00392A39">
        <w:rPr>
          <w:sz w:val="18"/>
          <w:szCs w:val="18"/>
          <w:lang w:val="en-US"/>
        </w:rPr>
        <w:t>note the smooth slope above 1.5 Hz, broken only by peaks due to the mine activity.  The uniform slope is an indicator of instrument noise limitations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094F" w:rsidRDefault="0036094F" w:rsidP="0036094F">
    <w:pPr>
      <w:pStyle w:val="Intestazione"/>
      <w:tabs>
        <w:tab w:val="center" w:pos="4680"/>
      </w:tabs>
      <w:rPr>
        <w:sz w:val="20"/>
      </w:rPr>
    </w:pPr>
    <w:r>
      <w:rPr>
        <w:b/>
        <w:bCs/>
        <w:i/>
        <w:iCs/>
        <w:color w:val="0000FF"/>
        <w:sz w:val="20"/>
      </w:rPr>
      <w:t>LIGO</w:t>
    </w:r>
    <w:r>
      <w:rPr>
        <w:sz w:val="20"/>
      </w:rPr>
      <w:tab/>
      <w:t>LIGO-</w:t>
    </w:r>
    <w:r w:rsidR="006537EE">
      <w:rPr>
        <w:sz w:val="20"/>
      </w:rPr>
      <w:t>T090409-</w:t>
    </w:r>
    <w:r w:rsidR="00051CD0">
      <w:rPr>
        <w:sz w:val="20"/>
      </w:rPr>
      <w:t>v1</w:t>
    </w:r>
  </w:p>
  <w:p w:rsidR="0036094F" w:rsidRDefault="0036094F">
    <w:pPr>
      <w:pStyle w:val="Intestazion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E35" w:rsidRPr="005C0E35" w:rsidRDefault="005C0E35" w:rsidP="005C0E35">
    <w:pPr>
      <w:pStyle w:val="Intestazione"/>
      <w:jc w:val="center"/>
      <w:rPr>
        <w:sz w:val="24"/>
        <w:szCs w:val="24"/>
        <w:lang w:val="en-US"/>
      </w:rPr>
    </w:pPr>
    <w:r w:rsidRPr="005C0E35">
      <w:rPr>
        <w:b/>
        <w:caps/>
        <w:sz w:val="24"/>
        <w:szCs w:val="24"/>
        <w:lang w:val="en-US"/>
      </w:rPr>
      <w:t>Laser Interferometer Gravitational Wave Observatory</w:t>
    </w:r>
    <w:r w:rsidR="009B29F4">
      <w:rPr>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0420" type="#_x0000_t75" style="position:absolute;left:0;text-align:left;margin-left:-1.75pt;margin-top:-.75pt;width:78.05pt;height:57pt;z-index:251660288;mso-position-horizontal-relative:text;mso-position-vertical-relative:text" fillcolor="#d49fff" strokecolor="#114ffb" strokeweight="1pt">
          <v:stroke startarrowwidth="narrow" startarrowlength="short" endarrowwidth="narrow" endarrowlength="short"/>
          <v:imagedata r:id="rId1" o:title=""/>
          <v:shadow color="#cecece"/>
          <w10:wrap type="topAndBottom"/>
        </v:shape>
        <o:OLEObject Type="Embed" ProgID="MSPhotoEd.3" ShapeID="_x0000_s60420" DrawAspect="Content" ObjectID="_1313431031" r:id="rId2"/>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08"/>
  <w:hyphenationZone w:val="283"/>
  <w:drawingGridHorizontalSpacing w:val="110"/>
  <w:displayHorizontalDrawingGridEvery w:val="2"/>
  <w:characterSpacingControl w:val="doNotCompress"/>
  <w:hdrShapeDefaults>
    <o:shapedefaults v:ext="edit" spidmax="67586"/>
    <o:shapelayout v:ext="edit">
      <o:idmap v:ext="edit" data="59"/>
    </o:shapelayout>
  </w:hdrShapeDefaults>
  <w:footnotePr>
    <w:footnote w:id="0"/>
    <w:footnote w:id="1"/>
  </w:footnotePr>
  <w:endnotePr>
    <w:endnote w:id="0"/>
    <w:endnote w:id="1"/>
  </w:endnotePr>
  <w:compat/>
  <w:rsids>
    <w:rsidRoot w:val="000F4E54"/>
    <w:rsid w:val="0001718F"/>
    <w:rsid w:val="00017ED4"/>
    <w:rsid w:val="00021DE2"/>
    <w:rsid w:val="00036B76"/>
    <w:rsid w:val="000473A9"/>
    <w:rsid w:val="00051CD0"/>
    <w:rsid w:val="00060974"/>
    <w:rsid w:val="0007615C"/>
    <w:rsid w:val="0009360A"/>
    <w:rsid w:val="000B4B36"/>
    <w:rsid w:val="000B513F"/>
    <w:rsid w:val="000D2B35"/>
    <w:rsid w:val="000D2E37"/>
    <w:rsid w:val="000D3D18"/>
    <w:rsid w:val="000D786E"/>
    <w:rsid w:val="000E2956"/>
    <w:rsid w:val="000E59ED"/>
    <w:rsid w:val="000E6989"/>
    <w:rsid w:val="000F4E54"/>
    <w:rsid w:val="0010436D"/>
    <w:rsid w:val="00113492"/>
    <w:rsid w:val="001172A3"/>
    <w:rsid w:val="00123189"/>
    <w:rsid w:val="001240AE"/>
    <w:rsid w:val="00126257"/>
    <w:rsid w:val="00141A7B"/>
    <w:rsid w:val="00143B94"/>
    <w:rsid w:val="00156B1D"/>
    <w:rsid w:val="0016567D"/>
    <w:rsid w:val="001756C5"/>
    <w:rsid w:val="00176548"/>
    <w:rsid w:val="00180025"/>
    <w:rsid w:val="00180A6F"/>
    <w:rsid w:val="001824F9"/>
    <w:rsid w:val="0018265F"/>
    <w:rsid w:val="0019645B"/>
    <w:rsid w:val="001A54D2"/>
    <w:rsid w:val="001C4AB8"/>
    <w:rsid w:val="001D5661"/>
    <w:rsid w:val="001D75F8"/>
    <w:rsid w:val="001E1EB9"/>
    <w:rsid w:val="001F5B20"/>
    <w:rsid w:val="001F623F"/>
    <w:rsid w:val="0020051B"/>
    <w:rsid w:val="00201E78"/>
    <w:rsid w:val="00206BC6"/>
    <w:rsid w:val="00206F54"/>
    <w:rsid w:val="00212556"/>
    <w:rsid w:val="00216146"/>
    <w:rsid w:val="00230B00"/>
    <w:rsid w:val="00234AAD"/>
    <w:rsid w:val="00242F97"/>
    <w:rsid w:val="002455F2"/>
    <w:rsid w:val="002469B1"/>
    <w:rsid w:val="00255941"/>
    <w:rsid w:val="0028316C"/>
    <w:rsid w:val="002854D5"/>
    <w:rsid w:val="00292FDD"/>
    <w:rsid w:val="002B01B5"/>
    <w:rsid w:val="002B1F4D"/>
    <w:rsid w:val="002C4E36"/>
    <w:rsid w:val="002D3807"/>
    <w:rsid w:val="002E26AA"/>
    <w:rsid w:val="002E26C4"/>
    <w:rsid w:val="002E5B9B"/>
    <w:rsid w:val="002F0F46"/>
    <w:rsid w:val="002F6BA5"/>
    <w:rsid w:val="00322264"/>
    <w:rsid w:val="003369BE"/>
    <w:rsid w:val="0036094F"/>
    <w:rsid w:val="00366C99"/>
    <w:rsid w:val="00366D52"/>
    <w:rsid w:val="00374FFA"/>
    <w:rsid w:val="00375C9A"/>
    <w:rsid w:val="00392A39"/>
    <w:rsid w:val="00395390"/>
    <w:rsid w:val="00396E5E"/>
    <w:rsid w:val="003A2773"/>
    <w:rsid w:val="003A4FB4"/>
    <w:rsid w:val="003C1474"/>
    <w:rsid w:val="003E7C48"/>
    <w:rsid w:val="003F2FAE"/>
    <w:rsid w:val="00401421"/>
    <w:rsid w:val="004052F5"/>
    <w:rsid w:val="004121F8"/>
    <w:rsid w:val="00420ACF"/>
    <w:rsid w:val="004245B5"/>
    <w:rsid w:val="00432569"/>
    <w:rsid w:val="0044652C"/>
    <w:rsid w:val="004478DC"/>
    <w:rsid w:val="00453BC6"/>
    <w:rsid w:val="00464EE2"/>
    <w:rsid w:val="00464F46"/>
    <w:rsid w:val="004731E8"/>
    <w:rsid w:val="004863B6"/>
    <w:rsid w:val="00492BAF"/>
    <w:rsid w:val="00494FD0"/>
    <w:rsid w:val="004A7AD6"/>
    <w:rsid w:val="004B0AB7"/>
    <w:rsid w:val="004B19D6"/>
    <w:rsid w:val="004B431B"/>
    <w:rsid w:val="004B5F3A"/>
    <w:rsid w:val="004B7C17"/>
    <w:rsid w:val="004C1F4B"/>
    <w:rsid w:val="004E74D0"/>
    <w:rsid w:val="004F197A"/>
    <w:rsid w:val="00500C18"/>
    <w:rsid w:val="005061B5"/>
    <w:rsid w:val="00506B3B"/>
    <w:rsid w:val="00506EFA"/>
    <w:rsid w:val="00511CDC"/>
    <w:rsid w:val="00520A32"/>
    <w:rsid w:val="005259DE"/>
    <w:rsid w:val="00533E51"/>
    <w:rsid w:val="005625AE"/>
    <w:rsid w:val="0056480F"/>
    <w:rsid w:val="00570FE0"/>
    <w:rsid w:val="0057359E"/>
    <w:rsid w:val="00590968"/>
    <w:rsid w:val="00595FB4"/>
    <w:rsid w:val="005A0933"/>
    <w:rsid w:val="005B0D90"/>
    <w:rsid w:val="005B51F0"/>
    <w:rsid w:val="005B7303"/>
    <w:rsid w:val="005B750C"/>
    <w:rsid w:val="005C0306"/>
    <w:rsid w:val="005C0E35"/>
    <w:rsid w:val="005C7389"/>
    <w:rsid w:val="005E4817"/>
    <w:rsid w:val="005F1090"/>
    <w:rsid w:val="005F402D"/>
    <w:rsid w:val="00623495"/>
    <w:rsid w:val="0062579D"/>
    <w:rsid w:val="006332EF"/>
    <w:rsid w:val="00633977"/>
    <w:rsid w:val="00634DD8"/>
    <w:rsid w:val="006379FF"/>
    <w:rsid w:val="006537EE"/>
    <w:rsid w:val="0067509F"/>
    <w:rsid w:val="00680EDD"/>
    <w:rsid w:val="00696450"/>
    <w:rsid w:val="006A2920"/>
    <w:rsid w:val="006A5015"/>
    <w:rsid w:val="006B3929"/>
    <w:rsid w:val="006B630E"/>
    <w:rsid w:val="006B746B"/>
    <w:rsid w:val="006D59F1"/>
    <w:rsid w:val="006F0445"/>
    <w:rsid w:val="007103DE"/>
    <w:rsid w:val="00712B9A"/>
    <w:rsid w:val="0071598B"/>
    <w:rsid w:val="00720483"/>
    <w:rsid w:val="00746E86"/>
    <w:rsid w:val="007577B9"/>
    <w:rsid w:val="00764D88"/>
    <w:rsid w:val="007713BE"/>
    <w:rsid w:val="00774C88"/>
    <w:rsid w:val="007976E8"/>
    <w:rsid w:val="007A4396"/>
    <w:rsid w:val="007A6A5C"/>
    <w:rsid w:val="007C4548"/>
    <w:rsid w:val="007D2A75"/>
    <w:rsid w:val="007E057A"/>
    <w:rsid w:val="007E3B31"/>
    <w:rsid w:val="007F0CDA"/>
    <w:rsid w:val="007F3604"/>
    <w:rsid w:val="007F4639"/>
    <w:rsid w:val="008003F0"/>
    <w:rsid w:val="00812459"/>
    <w:rsid w:val="00841FEF"/>
    <w:rsid w:val="00852570"/>
    <w:rsid w:val="00857CE1"/>
    <w:rsid w:val="00872C01"/>
    <w:rsid w:val="00883243"/>
    <w:rsid w:val="00885721"/>
    <w:rsid w:val="008961F4"/>
    <w:rsid w:val="008962AE"/>
    <w:rsid w:val="008B282B"/>
    <w:rsid w:val="008B4484"/>
    <w:rsid w:val="008C0A5D"/>
    <w:rsid w:val="008C16DB"/>
    <w:rsid w:val="008D3281"/>
    <w:rsid w:val="008D5295"/>
    <w:rsid w:val="008E12BA"/>
    <w:rsid w:val="008F12E8"/>
    <w:rsid w:val="0090613D"/>
    <w:rsid w:val="00916D02"/>
    <w:rsid w:val="00927178"/>
    <w:rsid w:val="00927B77"/>
    <w:rsid w:val="00941608"/>
    <w:rsid w:val="009428D5"/>
    <w:rsid w:val="009453DF"/>
    <w:rsid w:val="00945F54"/>
    <w:rsid w:val="00947A00"/>
    <w:rsid w:val="00964ADA"/>
    <w:rsid w:val="00971DDF"/>
    <w:rsid w:val="00996186"/>
    <w:rsid w:val="009A2055"/>
    <w:rsid w:val="009B29F4"/>
    <w:rsid w:val="009B5E3F"/>
    <w:rsid w:val="009C477C"/>
    <w:rsid w:val="009C5C0D"/>
    <w:rsid w:val="009D61E3"/>
    <w:rsid w:val="009E1124"/>
    <w:rsid w:val="009F349F"/>
    <w:rsid w:val="00A15385"/>
    <w:rsid w:val="00A16B1F"/>
    <w:rsid w:val="00A171D6"/>
    <w:rsid w:val="00A21445"/>
    <w:rsid w:val="00A32EDD"/>
    <w:rsid w:val="00A53098"/>
    <w:rsid w:val="00A56D98"/>
    <w:rsid w:val="00A604AC"/>
    <w:rsid w:val="00A6056B"/>
    <w:rsid w:val="00A66FC7"/>
    <w:rsid w:val="00A720F8"/>
    <w:rsid w:val="00A74054"/>
    <w:rsid w:val="00A8430C"/>
    <w:rsid w:val="00AA3464"/>
    <w:rsid w:val="00AA462C"/>
    <w:rsid w:val="00AA4889"/>
    <w:rsid w:val="00AC4BC6"/>
    <w:rsid w:val="00AD1E81"/>
    <w:rsid w:val="00AD4A16"/>
    <w:rsid w:val="00AD5C0B"/>
    <w:rsid w:val="00AD6224"/>
    <w:rsid w:val="00B21402"/>
    <w:rsid w:val="00B2282B"/>
    <w:rsid w:val="00B23883"/>
    <w:rsid w:val="00B470FF"/>
    <w:rsid w:val="00B5029A"/>
    <w:rsid w:val="00B5427F"/>
    <w:rsid w:val="00B74F71"/>
    <w:rsid w:val="00B818F7"/>
    <w:rsid w:val="00B84A34"/>
    <w:rsid w:val="00B9674F"/>
    <w:rsid w:val="00BA1CD2"/>
    <w:rsid w:val="00BA4B41"/>
    <w:rsid w:val="00BA4CBE"/>
    <w:rsid w:val="00BA6277"/>
    <w:rsid w:val="00BB0300"/>
    <w:rsid w:val="00BB1D6E"/>
    <w:rsid w:val="00BC0856"/>
    <w:rsid w:val="00BD1F6C"/>
    <w:rsid w:val="00BF0F79"/>
    <w:rsid w:val="00BF4D9E"/>
    <w:rsid w:val="00BF5737"/>
    <w:rsid w:val="00C04FAB"/>
    <w:rsid w:val="00C118A5"/>
    <w:rsid w:val="00C118EE"/>
    <w:rsid w:val="00C204D0"/>
    <w:rsid w:val="00C2083E"/>
    <w:rsid w:val="00C3034B"/>
    <w:rsid w:val="00C33F0B"/>
    <w:rsid w:val="00C5570E"/>
    <w:rsid w:val="00C60305"/>
    <w:rsid w:val="00C775AF"/>
    <w:rsid w:val="00C80C9E"/>
    <w:rsid w:val="00C81F4A"/>
    <w:rsid w:val="00C8380F"/>
    <w:rsid w:val="00C9247C"/>
    <w:rsid w:val="00C92E09"/>
    <w:rsid w:val="00CA071B"/>
    <w:rsid w:val="00CB5624"/>
    <w:rsid w:val="00CE0651"/>
    <w:rsid w:val="00CE737D"/>
    <w:rsid w:val="00CF57F7"/>
    <w:rsid w:val="00CF7D4E"/>
    <w:rsid w:val="00D0639C"/>
    <w:rsid w:val="00D12459"/>
    <w:rsid w:val="00D15857"/>
    <w:rsid w:val="00D17D67"/>
    <w:rsid w:val="00D20D8A"/>
    <w:rsid w:val="00D24266"/>
    <w:rsid w:val="00D26653"/>
    <w:rsid w:val="00D51C6D"/>
    <w:rsid w:val="00D62847"/>
    <w:rsid w:val="00D62B5A"/>
    <w:rsid w:val="00D66FB2"/>
    <w:rsid w:val="00D70220"/>
    <w:rsid w:val="00D76017"/>
    <w:rsid w:val="00D80214"/>
    <w:rsid w:val="00DA1481"/>
    <w:rsid w:val="00DC1B95"/>
    <w:rsid w:val="00DC230A"/>
    <w:rsid w:val="00DD31A3"/>
    <w:rsid w:val="00DF015D"/>
    <w:rsid w:val="00E057CF"/>
    <w:rsid w:val="00E10031"/>
    <w:rsid w:val="00E30AA0"/>
    <w:rsid w:val="00E30DD4"/>
    <w:rsid w:val="00E32599"/>
    <w:rsid w:val="00E340BE"/>
    <w:rsid w:val="00E36C68"/>
    <w:rsid w:val="00E76058"/>
    <w:rsid w:val="00E761D7"/>
    <w:rsid w:val="00E8537A"/>
    <w:rsid w:val="00E931AD"/>
    <w:rsid w:val="00EA11C8"/>
    <w:rsid w:val="00EA1B18"/>
    <w:rsid w:val="00EB071C"/>
    <w:rsid w:val="00EB5618"/>
    <w:rsid w:val="00EB71AC"/>
    <w:rsid w:val="00EC55F8"/>
    <w:rsid w:val="00ED166F"/>
    <w:rsid w:val="00EE7AD0"/>
    <w:rsid w:val="00EF1FD0"/>
    <w:rsid w:val="00F00132"/>
    <w:rsid w:val="00F01115"/>
    <w:rsid w:val="00F02C6E"/>
    <w:rsid w:val="00F0410E"/>
    <w:rsid w:val="00F162B2"/>
    <w:rsid w:val="00F25EB0"/>
    <w:rsid w:val="00F32597"/>
    <w:rsid w:val="00F411B0"/>
    <w:rsid w:val="00F4301B"/>
    <w:rsid w:val="00F532F6"/>
    <w:rsid w:val="00F54C89"/>
    <w:rsid w:val="00F66816"/>
    <w:rsid w:val="00F71689"/>
    <w:rsid w:val="00F80BBF"/>
    <w:rsid w:val="00F96F87"/>
    <w:rsid w:val="00FB5A4F"/>
    <w:rsid w:val="00FD2336"/>
    <w:rsid w:val="00FE5360"/>
    <w:rsid w:val="00FF2686"/>
    <w:rsid w:val="00FF48EF"/>
    <w:rsid w:val="00FF771A"/>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675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3C1474"/>
  </w:style>
  <w:style w:type="paragraph" w:styleId="Titolo1">
    <w:name w:val="heading 1"/>
    <w:basedOn w:val="Normale"/>
    <w:next w:val="Normale"/>
    <w:link w:val="Titolo1Carattere"/>
    <w:uiPriority w:val="9"/>
    <w:qFormat/>
    <w:rsid w:val="00D8021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941608"/>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941608"/>
    <w:rPr>
      <w:rFonts w:ascii="Tahoma" w:hAnsi="Tahoma" w:cs="Tahoma"/>
      <w:sz w:val="16"/>
      <w:szCs w:val="16"/>
    </w:rPr>
  </w:style>
  <w:style w:type="paragraph" w:styleId="Didascalia">
    <w:name w:val="caption"/>
    <w:basedOn w:val="Normale"/>
    <w:next w:val="Normale"/>
    <w:uiPriority w:val="35"/>
    <w:unhideWhenUsed/>
    <w:qFormat/>
    <w:rsid w:val="004B5F3A"/>
    <w:pPr>
      <w:spacing w:line="240" w:lineRule="auto"/>
    </w:pPr>
    <w:rPr>
      <w:b/>
      <w:bCs/>
      <w:color w:val="4F81BD" w:themeColor="accent1"/>
      <w:sz w:val="18"/>
      <w:szCs w:val="18"/>
    </w:rPr>
  </w:style>
  <w:style w:type="paragraph" w:styleId="Intestazione">
    <w:name w:val="header"/>
    <w:basedOn w:val="Normale"/>
    <w:link w:val="IntestazioneCarattere"/>
    <w:uiPriority w:val="99"/>
    <w:unhideWhenUsed/>
    <w:rsid w:val="00E761D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E761D7"/>
  </w:style>
  <w:style w:type="paragraph" w:styleId="Pidipagina">
    <w:name w:val="footer"/>
    <w:basedOn w:val="Normale"/>
    <w:link w:val="PidipaginaCarattere"/>
    <w:uiPriority w:val="99"/>
    <w:unhideWhenUsed/>
    <w:rsid w:val="00E761D7"/>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E761D7"/>
  </w:style>
  <w:style w:type="character" w:customStyle="1" w:styleId="Titolo1Carattere">
    <w:name w:val="Titolo 1 Carattere"/>
    <w:basedOn w:val="Carpredefinitoparagrafo"/>
    <w:link w:val="Titolo1"/>
    <w:uiPriority w:val="9"/>
    <w:rsid w:val="00D80214"/>
    <w:rPr>
      <w:rFonts w:asciiTheme="majorHAnsi" w:eastAsiaTheme="majorEastAsia" w:hAnsiTheme="majorHAnsi" w:cstheme="majorBidi"/>
      <w:b/>
      <w:bCs/>
      <w:color w:val="365F91" w:themeColor="accent1" w:themeShade="BF"/>
      <w:sz w:val="28"/>
      <w:szCs w:val="28"/>
    </w:rPr>
  </w:style>
  <w:style w:type="paragraph" w:styleId="Bibliografia">
    <w:name w:val="Bibliography"/>
    <w:basedOn w:val="Normale"/>
    <w:next w:val="Normale"/>
    <w:uiPriority w:val="37"/>
    <w:unhideWhenUsed/>
    <w:rsid w:val="00D80214"/>
  </w:style>
  <w:style w:type="paragraph" w:styleId="Nessunaspaziatura">
    <w:name w:val="No Spacing"/>
    <w:link w:val="NessunaspaziaturaCarattere"/>
    <w:uiPriority w:val="1"/>
    <w:qFormat/>
    <w:rsid w:val="00F01115"/>
    <w:pPr>
      <w:spacing w:after="0" w:line="240" w:lineRule="auto"/>
    </w:pPr>
    <w:rPr>
      <w:rFonts w:eastAsiaTheme="minorEastAsia"/>
    </w:rPr>
  </w:style>
  <w:style w:type="character" w:customStyle="1" w:styleId="NessunaspaziaturaCarattere">
    <w:name w:val="Nessuna spaziatura Carattere"/>
    <w:basedOn w:val="Carpredefinitoparagrafo"/>
    <w:link w:val="Nessunaspaziatura"/>
    <w:uiPriority w:val="1"/>
    <w:rsid w:val="00F01115"/>
    <w:rPr>
      <w:rFonts w:eastAsiaTheme="minorEastAsia"/>
    </w:rPr>
  </w:style>
  <w:style w:type="paragraph" w:styleId="Testonotaapidipagina">
    <w:name w:val="footnote text"/>
    <w:basedOn w:val="Normale"/>
    <w:link w:val="TestonotaapidipaginaCarattere"/>
    <w:uiPriority w:val="99"/>
    <w:semiHidden/>
    <w:unhideWhenUsed/>
    <w:rsid w:val="003369BE"/>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3369BE"/>
    <w:rPr>
      <w:sz w:val="20"/>
      <w:szCs w:val="20"/>
    </w:rPr>
  </w:style>
  <w:style w:type="character" w:styleId="Rimandonotaapidipagina">
    <w:name w:val="footnote reference"/>
    <w:basedOn w:val="Carpredefinitoparagrafo"/>
    <w:uiPriority w:val="99"/>
    <w:semiHidden/>
    <w:unhideWhenUsed/>
    <w:rsid w:val="003369BE"/>
    <w:rPr>
      <w:vertAlign w:val="superscript"/>
    </w:rPr>
  </w:style>
  <w:style w:type="paragraph" w:styleId="Testonormale">
    <w:name w:val="Plain Text"/>
    <w:basedOn w:val="Normale"/>
    <w:link w:val="TestonormaleCarattere"/>
    <w:rsid w:val="005C0E35"/>
    <w:pPr>
      <w:spacing w:before="120" w:after="0" w:line="240" w:lineRule="auto"/>
      <w:jc w:val="both"/>
    </w:pPr>
    <w:rPr>
      <w:rFonts w:ascii="Times New Roman" w:eastAsia="Times New Roman" w:hAnsi="Times New Roman" w:cs="Times New Roman"/>
      <w:sz w:val="24"/>
      <w:szCs w:val="20"/>
      <w:lang w:val="en-US"/>
    </w:rPr>
  </w:style>
  <w:style w:type="character" w:customStyle="1" w:styleId="TestonormaleCarattere">
    <w:name w:val="Testo normale Carattere"/>
    <w:basedOn w:val="Carpredefinitoparagrafo"/>
    <w:link w:val="Testonormale"/>
    <w:rsid w:val="005C0E35"/>
    <w:rPr>
      <w:rFonts w:ascii="Times New Roman" w:eastAsia="Times New Roman" w:hAnsi="Times New Roman" w:cs="Times New Roman"/>
      <w:sz w:val="24"/>
      <w:szCs w:val="20"/>
      <w:lang w:val="en-US"/>
    </w:rPr>
  </w:style>
</w:styles>
</file>

<file path=word/webSettings.xml><?xml version="1.0" encoding="utf-8"?>
<w:webSettings xmlns:r="http://schemas.openxmlformats.org/officeDocument/2006/relationships" xmlns:w="http://schemas.openxmlformats.org/wordprocessingml/2006/main">
  <w:divs>
    <w:div w:id="128592952">
      <w:bodyDiv w:val="1"/>
      <w:marLeft w:val="0"/>
      <w:marRight w:val="0"/>
      <w:marTop w:val="0"/>
      <w:marBottom w:val="0"/>
      <w:divBdr>
        <w:top w:val="none" w:sz="0" w:space="0" w:color="auto"/>
        <w:left w:val="none" w:sz="0" w:space="0" w:color="auto"/>
        <w:bottom w:val="none" w:sz="0" w:space="0" w:color="auto"/>
        <w:right w:val="none" w:sz="0" w:space="0" w:color="auto"/>
      </w:divBdr>
    </w:div>
    <w:div w:id="166754091">
      <w:bodyDiv w:val="1"/>
      <w:marLeft w:val="0"/>
      <w:marRight w:val="0"/>
      <w:marTop w:val="0"/>
      <w:marBottom w:val="0"/>
      <w:divBdr>
        <w:top w:val="none" w:sz="0" w:space="0" w:color="auto"/>
        <w:left w:val="none" w:sz="0" w:space="0" w:color="auto"/>
        <w:bottom w:val="none" w:sz="0" w:space="0" w:color="auto"/>
        <w:right w:val="none" w:sz="0" w:space="0" w:color="auto"/>
      </w:divBdr>
    </w:div>
    <w:div w:id="344215516">
      <w:bodyDiv w:val="1"/>
      <w:marLeft w:val="0"/>
      <w:marRight w:val="0"/>
      <w:marTop w:val="0"/>
      <w:marBottom w:val="0"/>
      <w:divBdr>
        <w:top w:val="none" w:sz="0" w:space="0" w:color="auto"/>
        <w:left w:val="none" w:sz="0" w:space="0" w:color="auto"/>
        <w:bottom w:val="none" w:sz="0" w:space="0" w:color="auto"/>
        <w:right w:val="none" w:sz="0" w:space="0" w:color="auto"/>
      </w:divBdr>
    </w:div>
    <w:div w:id="604188562">
      <w:bodyDiv w:val="1"/>
      <w:marLeft w:val="0"/>
      <w:marRight w:val="0"/>
      <w:marTop w:val="0"/>
      <w:marBottom w:val="0"/>
      <w:divBdr>
        <w:top w:val="none" w:sz="0" w:space="0" w:color="auto"/>
        <w:left w:val="none" w:sz="0" w:space="0" w:color="auto"/>
        <w:bottom w:val="none" w:sz="0" w:space="0" w:color="auto"/>
        <w:right w:val="none" w:sz="0" w:space="0" w:color="auto"/>
      </w:divBdr>
    </w:div>
    <w:div w:id="1027826222">
      <w:bodyDiv w:val="1"/>
      <w:marLeft w:val="0"/>
      <w:marRight w:val="0"/>
      <w:marTop w:val="0"/>
      <w:marBottom w:val="0"/>
      <w:divBdr>
        <w:top w:val="none" w:sz="0" w:space="0" w:color="auto"/>
        <w:left w:val="none" w:sz="0" w:space="0" w:color="auto"/>
        <w:bottom w:val="none" w:sz="0" w:space="0" w:color="auto"/>
        <w:right w:val="none" w:sz="0" w:space="0" w:color="auto"/>
      </w:divBdr>
    </w:div>
    <w:div w:id="1354068728">
      <w:bodyDiv w:val="1"/>
      <w:marLeft w:val="0"/>
      <w:marRight w:val="0"/>
      <w:marTop w:val="0"/>
      <w:marBottom w:val="0"/>
      <w:divBdr>
        <w:top w:val="none" w:sz="0" w:space="0" w:color="auto"/>
        <w:left w:val="none" w:sz="0" w:space="0" w:color="auto"/>
        <w:bottom w:val="none" w:sz="0" w:space="0" w:color="auto"/>
        <w:right w:val="none" w:sz="0" w:space="0" w:color="auto"/>
      </w:divBdr>
    </w:div>
    <w:div w:id="1405030231">
      <w:bodyDiv w:val="1"/>
      <w:marLeft w:val="0"/>
      <w:marRight w:val="0"/>
      <w:marTop w:val="0"/>
      <w:marBottom w:val="0"/>
      <w:divBdr>
        <w:top w:val="none" w:sz="0" w:space="0" w:color="auto"/>
        <w:left w:val="none" w:sz="0" w:space="0" w:color="auto"/>
        <w:bottom w:val="none" w:sz="0" w:space="0" w:color="auto"/>
        <w:right w:val="none" w:sz="0" w:space="0" w:color="auto"/>
      </w:divBdr>
    </w:div>
    <w:div w:id="2104374819">
      <w:bodyDiv w:val="1"/>
      <w:marLeft w:val="0"/>
      <w:marRight w:val="0"/>
      <w:marTop w:val="0"/>
      <w:marBottom w:val="0"/>
      <w:divBdr>
        <w:top w:val="none" w:sz="0" w:space="0" w:color="auto"/>
        <w:left w:val="none" w:sz="0" w:space="0" w:color="auto"/>
        <w:bottom w:val="none" w:sz="0" w:space="0" w:color="auto"/>
        <w:right w:val="none" w:sz="0" w:space="0" w:color="auto"/>
      </w:divBdr>
      <w:divsChild>
        <w:div w:id="10808280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jpeg"/><Relationship Id="rId63" Type="http://schemas.openxmlformats.org/officeDocument/2006/relationships/image" Target="media/image57.png"/><Relationship Id="rId68" Type="http://schemas.openxmlformats.org/officeDocument/2006/relationships/image" Target="media/image62.jpeg"/><Relationship Id="rId7" Type="http://schemas.openxmlformats.org/officeDocument/2006/relationships/image" Target="media/image1.jpeg"/><Relationship Id="rId71"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gif"/><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png"/><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jpe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65.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b:Source>
    <b:Tag>MGB09</b:Tag>
    <b:SourceType>JournalArticle</b:SourceType>
    <b:Guid>{885C6C14-92AC-40F8-8EB0-09E6F77B652F}</b:Guid>
    <b:LCID>1033</b:LCID>
    <b:Author>
      <b:Author>
        <b:NameList>
          <b:Person>
            <b:Last>al.</b:Last>
            <b:First>M.</b:First>
            <b:Middle>G. Becker et</b:Middle>
          </b:Person>
        </b:NameList>
      </b:Author>
    </b:Author>
    <b:Title>Mitigating noise in future GW observatories in the 1−10 Hz</b:Title>
    <b:Year>2009</b:Year>
    <b:RefOrder>1</b:RefOrder>
  </b:Source>
  <b:Source>
    <b:Tag>JHa09</b:Tag>
    <b:SourceType>JournalArticle</b:SourceType>
    <b:Guid>{497C3442-848C-4C94-A05A-092F46B77714}</b:Guid>
    <b:LCID>1033</b:LCID>
    <b:Author>
      <b:Author>
        <b:NameList>
          <b:Person>
            <b:Last>al.</b:Last>
            <b:First>J.</b:First>
            <b:Middle>Harms et</b:Middle>
          </b:Person>
        </b:NameList>
      </b:Author>
    </b:Author>
    <b:Title>Seismic studies at the Homestake mine in Lead, South Dakota</b:Title>
    <b:Year>2009</b:Year>
    <b:StandardNumber>LIGO-T0900112-v1-H</b:StandardNumber>
    <b:RefOrder>2</b:RefOrder>
  </b:Source>
  <b:Source>
    <b:Tag>Cam</b:Tag>
    <b:SourceType>JournalArticle</b:SourceType>
    <b:Guid>{15177632-A38F-447F-B52E-D519D473DCC0}</b:Guid>
    <b:LCID>0</b:LCID>
    <b:Author>
      <b:Author>
        <b:NameList>
          <b:Person>
            <b:Last>Campbell</b:Last>
            <b:First>Thomas</b:First>
            <b:Middle>J.</b:Middle>
          </b:Person>
        </b:NameList>
      </b:Author>
    </b:Author>
    <b:Title>Synopsis of Homestake Mine Geology</b:Title>
    <b:InternetSiteTitle>Homestake - Background material for DUSEL</b:InternetSiteTitle>
    <b:URL>http://homestake.sdsmt.edu/Geology/geology.htm</b:URL>
    <b:RefOrder>3</b:RefOrder>
  </b:Source>
  <b:Source>
    <b:Tag>FAc09</b:Tag>
    <b:SourceType>JournalArticle</b:SourceType>
    <b:Guid>{14F9C7F3-CDFF-4F68-802F-CF68715E40CA}</b:Guid>
    <b:LCID>0</b:LCID>
    <b:Author>
      <b:Author>
        <b:NameList>
          <b:Person>
            <b:Last>Al.</b:Last>
            <b:First>F.</b:First>
            <b:Middle>Acernese et</b:Middle>
          </b:Person>
        </b:NameList>
      </b:Author>
    </b:Author>
    <b:Title>Tunable mechanical monolithic horizontal accelerometer for low frequency seismic noise measurement</b:Title>
    <b:Year>2009</b:Year>
    <b:Publisher>Sensors and Smart Structures Technologies for Civil, Mechanical, and Aerospace Systems</b:Publisher>
    <b:StandardNumber>Proc. of SPIE Vol. 7292 72922J-1</b:StandardNumber>
    <b:RefOrder>4</b:RefOrder>
  </b:Source>
</b:Sources>
</file>

<file path=customXml/itemProps1.xml><?xml version="1.0" encoding="utf-8"?>
<ds:datastoreItem xmlns:ds="http://schemas.openxmlformats.org/officeDocument/2006/customXml" ds:itemID="{95A4C814-DC59-4C36-882B-D7BDF3E253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28</Pages>
  <Words>5958</Words>
  <Characters>33964</Characters>
  <Application>Microsoft Office Word</Application>
  <DocSecurity>0</DocSecurity>
  <Lines>283</Lines>
  <Paragraphs>79</Paragraphs>
  <ScaleCrop>false</ScaleCrop>
  <HeadingPairs>
    <vt:vector size="2" baseType="variant">
      <vt:variant>
        <vt:lpstr>Titolo</vt:lpstr>
      </vt:variant>
      <vt:variant>
        <vt:i4>1</vt:i4>
      </vt:variant>
    </vt:vector>
  </HeadingPairs>
  <TitlesOfParts>
    <vt:vector size="1" baseType="lpstr">
      <vt:lpstr/>
    </vt:vector>
  </TitlesOfParts>
  <Company> </Company>
  <LinksUpToDate>false</LinksUpToDate>
  <CharactersWithSpaces>39843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luca lux</dc:creator>
  <cp:keywords/>
  <dc:description/>
  <cp:lastModifiedBy>luca lux</cp:lastModifiedBy>
  <cp:revision>10</cp:revision>
  <cp:lastPrinted>2009-09-01T05:50:00Z</cp:lastPrinted>
  <dcterms:created xsi:type="dcterms:W3CDTF">2009-08-31T18:27:00Z</dcterms:created>
  <dcterms:modified xsi:type="dcterms:W3CDTF">2009-09-02T19:11:00Z</dcterms:modified>
</cp:coreProperties>
</file>