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DF" w:rsidRDefault="00324E42">
      <w:pPr>
        <w:pStyle w:val="PlainText"/>
        <w:jc w:val="center"/>
        <w:rPr>
          <w:i/>
          <w:sz w:val="36"/>
        </w:rPr>
      </w:pPr>
      <w:r>
        <w:rPr>
          <w:i/>
          <w:sz w:val="36"/>
        </w:rPr>
        <w:softHyphen/>
      </w: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6375" w:rsidP="000C14DD">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LIGO-T1100044</w:t>
      </w:r>
      <w:r w:rsidR="00F5292B">
        <w:t>-</w:t>
      </w:r>
      <w:r w:rsidR="00743F2F">
        <w:t>v19</w:t>
      </w:r>
      <w:r w:rsidR="005F48B2">
        <w:tab/>
      </w:r>
      <w:r w:rsidR="004F4B3C">
        <w:rPr>
          <w:rFonts w:ascii="Times" w:hAnsi="Times"/>
          <w:i/>
          <w:iCs/>
          <w:color w:val="0000FF"/>
          <w:sz w:val="40"/>
        </w:rPr>
        <w:t>Advanced</w:t>
      </w:r>
      <w:r w:rsidR="004F4B3C">
        <w:t xml:space="preserve"> </w:t>
      </w:r>
      <w:r w:rsidR="005F48B2">
        <w:rPr>
          <w:rFonts w:ascii="Times" w:hAnsi="Times"/>
          <w:i/>
          <w:iCs/>
          <w:color w:val="0000FF"/>
          <w:sz w:val="40"/>
        </w:rPr>
        <w:t>LIGO</w:t>
      </w:r>
      <w:r w:rsidR="005F48B2">
        <w:tab/>
      </w:r>
      <w:r w:rsidR="002126BF">
        <w:t>December 15</w:t>
      </w:r>
      <w:r w:rsidR="000C14DD">
        <w:t>, 2011</w:t>
      </w:r>
    </w:p>
    <w:p w:rsidR="005F48B2" w:rsidRDefault="003C4B36">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9A78D8">
      <w:pPr>
        <w:pStyle w:val="BodyText"/>
        <w:pBdr>
          <w:top w:val="threeDEmboss" w:sz="24" w:space="1" w:color="auto"/>
          <w:left w:val="threeDEmboss" w:sz="24" w:space="4" w:color="auto"/>
          <w:bottom w:val="threeDEmboss" w:sz="24" w:space="1" w:color="auto"/>
          <w:right w:val="threeDEmboss" w:sz="24" w:space="4" w:color="auto"/>
        </w:pBdr>
      </w:pPr>
      <w:r>
        <w:t>Photon Calibrator</w:t>
      </w:r>
      <w:r w:rsidR="004F4B3C">
        <w:t xml:space="preserve"> Design Requirements</w:t>
      </w:r>
    </w:p>
    <w:p w:rsidR="005F48B2" w:rsidRDefault="003C4B36">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144A30">
      <w:pPr>
        <w:pBdr>
          <w:top w:val="threeDEmboss" w:sz="24" w:space="1" w:color="auto"/>
          <w:left w:val="threeDEmboss" w:sz="24" w:space="4" w:color="auto"/>
          <w:bottom w:val="threeDEmboss" w:sz="24" w:space="1" w:color="auto"/>
          <w:right w:val="threeDEmboss" w:sz="24" w:space="4" w:color="auto"/>
        </w:pBdr>
        <w:jc w:val="center"/>
      </w:pPr>
      <w:r>
        <w:t>Jonathan</w:t>
      </w:r>
      <w:r w:rsidR="004F4B3C">
        <w:t xml:space="preserve"> Berliner, Rick Savage</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5943E5">
      <w:pPr>
        <w:pStyle w:val="PlainText"/>
        <w:spacing w:before="0"/>
        <w:jc w:val="center"/>
      </w:pPr>
      <w:r>
        <w:t>LIGO Scientific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C02D3D" w:rsidP="00C02D3D">
      <w:pPr>
        <w:pStyle w:val="PlainText"/>
        <w:tabs>
          <w:tab w:val="center" w:pos="4795"/>
          <w:tab w:val="left" w:pos="6654"/>
        </w:tabs>
        <w:spacing w:before="0"/>
        <w:jc w:val="left"/>
      </w:pPr>
      <w:r>
        <w:tab/>
      </w:r>
      <w:r w:rsidR="00E66298">
        <w:t>of the LIGO Laboratory</w:t>
      </w:r>
      <w:r w:rsidR="005F48B2">
        <w:t>.</w:t>
      </w:r>
      <w:r>
        <w:tab/>
      </w:r>
    </w:p>
    <w:p w:rsidR="005F48B2" w:rsidRDefault="005F48B2">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96775B" w:rsidRDefault="0096775B">
      <w:pPr>
        <w:spacing w:before="0"/>
        <w:jc w:val="left"/>
        <w:rPr>
          <w:rFonts w:ascii="Arial" w:hAnsi="Arial"/>
          <w:b/>
          <w:kern w:val="28"/>
          <w:sz w:val="28"/>
        </w:rPr>
      </w:pPr>
      <w:r>
        <w:br w:type="page"/>
      </w:r>
    </w:p>
    <w:p w:rsidR="00DD532D" w:rsidRDefault="00DD532D" w:rsidP="00380364">
      <w:pPr>
        <w:pStyle w:val="Heading1"/>
        <w:numPr>
          <w:ilvl w:val="0"/>
          <w:numId w:val="0"/>
        </w:numPr>
      </w:pPr>
    </w:p>
    <w:p w:rsidR="00C90736" w:rsidRDefault="00C90736" w:rsidP="00C90736">
      <w:pPr>
        <w:pStyle w:val="Caption"/>
        <w:keepNext/>
        <w:jc w:val="center"/>
      </w:pPr>
      <w:bookmarkStart w:id="0" w:name="_Toc292192988"/>
      <w:r>
        <w:t xml:space="preserve">Table </w:t>
      </w:r>
      <w:fldSimple w:instr=" SEQ Table \* ARABIC ">
        <w:r w:rsidR="000C14DD">
          <w:rPr>
            <w:noProof/>
          </w:rPr>
          <w:t>1</w:t>
        </w:r>
      </w:fldSimple>
      <w:r>
        <w:t xml:space="preserve"> </w:t>
      </w:r>
      <w:r w:rsidR="002716C9">
        <w:t>–</w:t>
      </w:r>
      <w:r>
        <w:t xml:space="preserve"> </w:t>
      </w:r>
      <w:r w:rsidR="002716C9">
        <w:t>Reference Documents Cited in Document</w:t>
      </w:r>
      <w:r w:rsidR="003C3CB8">
        <w:t xml:space="preserve"> </w:t>
      </w:r>
    </w:p>
    <w:p w:rsidR="002716C9" w:rsidRPr="002716C9" w:rsidRDefault="002716C9" w:rsidP="002716C9">
      <w:pPr>
        <w:jc w:val="center"/>
        <w:rPr>
          <w:i/>
          <w:iCs/>
        </w:rPr>
      </w:pPr>
      <w:r>
        <w:rPr>
          <w:i/>
          <w:iCs/>
        </w:rPr>
        <w:t>DCC references in italics refer to external documents.</w:t>
      </w:r>
    </w:p>
    <w:tbl>
      <w:tblPr>
        <w:tblStyle w:val="TableGrid"/>
        <w:tblW w:w="5000" w:type="pct"/>
        <w:tblLook w:val="04A0" w:firstRow="1" w:lastRow="0" w:firstColumn="1" w:lastColumn="0" w:noHBand="0" w:noVBand="1"/>
      </w:tblPr>
      <w:tblGrid>
        <w:gridCol w:w="7939"/>
        <w:gridCol w:w="1867"/>
      </w:tblGrid>
      <w:tr w:rsidR="0096775B" w:rsidTr="00BB0571">
        <w:trPr>
          <w:trHeight w:val="359"/>
        </w:trPr>
        <w:tc>
          <w:tcPr>
            <w:tcW w:w="4048" w:type="pct"/>
          </w:tcPr>
          <w:p w:rsidR="0096775B" w:rsidRPr="00D42FC2" w:rsidRDefault="0096775B" w:rsidP="007B68A2">
            <w:pPr>
              <w:jc w:val="left"/>
              <w:rPr>
                <w:b/>
                <w:bCs/>
              </w:rPr>
            </w:pPr>
            <w:r w:rsidRPr="00D42FC2">
              <w:rPr>
                <w:b/>
                <w:bCs/>
              </w:rPr>
              <w:t>Title</w:t>
            </w:r>
          </w:p>
        </w:tc>
        <w:tc>
          <w:tcPr>
            <w:tcW w:w="952" w:type="pct"/>
          </w:tcPr>
          <w:p w:rsidR="0096775B" w:rsidRPr="00D42FC2" w:rsidRDefault="0096775B" w:rsidP="007B68A2">
            <w:pPr>
              <w:jc w:val="left"/>
              <w:rPr>
                <w:b/>
                <w:bCs/>
              </w:rPr>
            </w:pPr>
            <w:r w:rsidRPr="00D42FC2">
              <w:rPr>
                <w:b/>
                <w:bCs/>
              </w:rPr>
              <w:t>LIGO-DCC#:</w:t>
            </w:r>
          </w:p>
        </w:tc>
      </w:tr>
      <w:tr w:rsidR="0096775B" w:rsidTr="00BB0571">
        <w:tc>
          <w:tcPr>
            <w:tcW w:w="4048" w:type="pct"/>
          </w:tcPr>
          <w:p w:rsidR="0096775B" w:rsidRPr="00D42FC2" w:rsidRDefault="0096775B" w:rsidP="007B68A2">
            <w:pPr>
              <w:rPr>
                <w:i/>
                <w:iCs/>
              </w:rPr>
            </w:pPr>
            <w:r w:rsidRPr="00D42FC2">
              <w:rPr>
                <w:i/>
                <w:iCs/>
              </w:rPr>
              <w:t>aLIGO Calibration White Paper</w:t>
            </w:r>
          </w:p>
        </w:tc>
        <w:tc>
          <w:tcPr>
            <w:tcW w:w="952" w:type="pct"/>
            <w:vAlign w:val="center"/>
          </w:tcPr>
          <w:p w:rsidR="0096775B" w:rsidRDefault="003C4B36" w:rsidP="007B68A2">
            <w:pPr>
              <w:jc w:val="left"/>
            </w:pPr>
            <w:hyperlink r:id="rId9" w:history="1">
              <w:r w:rsidR="0096775B" w:rsidRPr="00B65EA0">
                <w:rPr>
                  <w:rStyle w:val="Hyperlink"/>
                </w:rPr>
                <w:t>T1100122</w:t>
              </w:r>
            </w:hyperlink>
          </w:p>
        </w:tc>
      </w:tr>
      <w:tr w:rsidR="00BB0571" w:rsidTr="007B68A2">
        <w:tc>
          <w:tcPr>
            <w:tcW w:w="4048" w:type="pct"/>
          </w:tcPr>
          <w:p w:rsidR="00BB0571" w:rsidRDefault="00BB0571" w:rsidP="007B68A2">
            <w:pPr>
              <w:rPr>
                <w:i/>
                <w:iCs/>
              </w:rPr>
            </w:pPr>
            <w:r>
              <w:rPr>
                <w:i/>
                <w:iCs/>
              </w:rPr>
              <w:t>Calibration in the Advanced Detector Era</w:t>
            </w:r>
          </w:p>
        </w:tc>
        <w:tc>
          <w:tcPr>
            <w:tcW w:w="952" w:type="pct"/>
            <w:vAlign w:val="center"/>
          </w:tcPr>
          <w:p w:rsidR="00BB0571" w:rsidRDefault="003C4B36" w:rsidP="007B68A2">
            <w:pPr>
              <w:jc w:val="left"/>
            </w:pPr>
            <w:hyperlink r:id="rId10" w:history="1">
              <w:r w:rsidR="00BB0571" w:rsidRPr="00BB0571">
                <w:rPr>
                  <w:rStyle w:val="Hyperlink"/>
                </w:rPr>
                <w:t>G1000274</w:t>
              </w:r>
            </w:hyperlink>
          </w:p>
        </w:tc>
      </w:tr>
      <w:tr w:rsidR="0096775B" w:rsidTr="00BB0571">
        <w:tc>
          <w:tcPr>
            <w:tcW w:w="4048" w:type="pct"/>
          </w:tcPr>
          <w:p w:rsidR="0096775B" w:rsidRPr="00D42FC2" w:rsidRDefault="0096775B" w:rsidP="007B68A2">
            <w:pPr>
              <w:rPr>
                <w:i/>
                <w:iCs/>
              </w:rPr>
            </w:pPr>
            <w:r w:rsidRPr="00651205">
              <w:rPr>
                <w:i/>
                <w:iCs/>
              </w:rPr>
              <w:t>Optimal calibration accuracy for gravitational-wave detectors</w:t>
            </w:r>
          </w:p>
        </w:tc>
        <w:tc>
          <w:tcPr>
            <w:tcW w:w="952" w:type="pct"/>
            <w:vAlign w:val="center"/>
          </w:tcPr>
          <w:p w:rsidR="0096775B" w:rsidRPr="00651205" w:rsidRDefault="003C4B36" w:rsidP="007B68A2">
            <w:pPr>
              <w:jc w:val="left"/>
              <w:rPr>
                <w:i/>
                <w:iCs/>
              </w:rPr>
            </w:pPr>
            <w:hyperlink r:id="rId11" w:history="1">
              <w:r w:rsidR="0096775B">
                <w:rPr>
                  <w:rStyle w:val="Hyperlink"/>
                  <w:i/>
                  <w:iCs/>
                </w:rPr>
                <w:t xml:space="preserve">PRD-Aug </w:t>
              </w:r>
              <w:r w:rsidR="0096775B" w:rsidRPr="00651205">
                <w:rPr>
                  <w:rStyle w:val="Hyperlink"/>
                  <w:i/>
                  <w:iCs/>
                </w:rPr>
                <w:t>2009</w:t>
              </w:r>
            </w:hyperlink>
          </w:p>
        </w:tc>
      </w:tr>
      <w:tr w:rsidR="005D4EB2" w:rsidTr="00BB0571">
        <w:tc>
          <w:tcPr>
            <w:tcW w:w="4048" w:type="pct"/>
          </w:tcPr>
          <w:p w:rsidR="005D4EB2" w:rsidRPr="00651205" w:rsidRDefault="005D4EB2" w:rsidP="005D4EB2">
            <w:pPr>
              <w:rPr>
                <w:i/>
                <w:iCs/>
              </w:rPr>
            </w:pPr>
            <w:r w:rsidRPr="005D4EB2">
              <w:rPr>
                <w:i/>
                <w:iCs/>
              </w:rPr>
              <w:t xml:space="preserve">Advanced LIGO </w:t>
            </w:r>
            <w:r>
              <w:rPr>
                <w:i/>
                <w:iCs/>
              </w:rPr>
              <w:t>A</w:t>
            </w:r>
            <w:r w:rsidRPr="005D4EB2">
              <w:rPr>
                <w:i/>
                <w:iCs/>
              </w:rPr>
              <w:t xml:space="preserve">nticipated </w:t>
            </w:r>
            <w:r>
              <w:rPr>
                <w:i/>
                <w:iCs/>
              </w:rPr>
              <w:t>S</w:t>
            </w:r>
            <w:r w:rsidRPr="005D4EB2">
              <w:rPr>
                <w:i/>
                <w:iCs/>
              </w:rPr>
              <w:t xml:space="preserve">ensitivity </w:t>
            </w:r>
            <w:r>
              <w:rPr>
                <w:i/>
                <w:iCs/>
              </w:rPr>
              <w:t>C</w:t>
            </w:r>
            <w:r w:rsidRPr="005D4EB2">
              <w:rPr>
                <w:i/>
                <w:iCs/>
              </w:rPr>
              <w:t>urves</w:t>
            </w:r>
          </w:p>
        </w:tc>
        <w:tc>
          <w:tcPr>
            <w:tcW w:w="952" w:type="pct"/>
            <w:vAlign w:val="center"/>
          </w:tcPr>
          <w:p w:rsidR="005D4EB2" w:rsidRDefault="003C4B36" w:rsidP="007B68A2">
            <w:pPr>
              <w:jc w:val="left"/>
            </w:pPr>
            <w:hyperlink r:id="rId12" w:history="1">
              <w:r w:rsidR="005D4EB2" w:rsidRPr="00D42BC0">
                <w:rPr>
                  <w:rStyle w:val="Hyperlink"/>
                </w:rPr>
                <w:t>T0900288</w:t>
              </w:r>
            </w:hyperlink>
          </w:p>
        </w:tc>
      </w:tr>
    </w:tbl>
    <w:p w:rsidR="005F48B2" w:rsidRDefault="005F48B2" w:rsidP="00A85B48">
      <w:pPr>
        <w:pStyle w:val="Heading1"/>
      </w:pPr>
      <w:r>
        <w:t>Introduction</w:t>
      </w:r>
      <w:bookmarkEnd w:id="0"/>
    </w:p>
    <w:p w:rsidR="00AF4AE1" w:rsidRDefault="00CA5D38" w:rsidP="00B652D1">
      <w:r>
        <w:t xml:space="preserve">This document </w:t>
      </w:r>
      <w:r w:rsidR="009C0AA2">
        <w:t>defines</w:t>
      </w:r>
      <w:r w:rsidR="004F4B3C">
        <w:t xml:space="preserve"> the </w:t>
      </w:r>
      <w:r w:rsidR="003F7829">
        <w:t>requirements</w:t>
      </w:r>
      <w:r w:rsidR="00380364">
        <w:t xml:space="preserve"> </w:t>
      </w:r>
      <w:r w:rsidR="009C0AA2">
        <w:t xml:space="preserve">and </w:t>
      </w:r>
      <w:r w:rsidR="003C3CB8">
        <w:t>sub</w:t>
      </w:r>
      <w:r w:rsidR="009C0AA2">
        <w:t>system interfaces of</w:t>
      </w:r>
      <w:r w:rsidR="00380364">
        <w:t xml:space="preserve"> the aLIGO </w:t>
      </w:r>
      <w:r w:rsidR="003C3CB8">
        <w:t xml:space="preserve">Photon Calibrator </w:t>
      </w:r>
      <w:r w:rsidR="009A78D8">
        <w:t>(Pcal)</w:t>
      </w:r>
      <w:r w:rsidR="006B37A0">
        <w:t xml:space="preserve"> subsystem</w:t>
      </w:r>
      <w:r w:rsidR="003F7829">
        <w:t>.</w:t>
      </w:r>
      <w:r w:rsidR="003C3CB8">
        <w:t xml:space="preserve"> </w:t>
      </w:r>
      <w:r w:rsidR="009A78D8">
        <w:t>Pcal</w:t>
      </w:r>
      <w:r w:rsidR="002F32A8">
        <w:t xml:space="preserve"> induce</w:t>
      </w:r>
      <w:r w:rsidR="003C3CB8">
        <w:t>s</w:t>
      </w:r>
      <w:r w:rsidR="002F32A8">
        <w:t xml:space="preserve"> </w:t>
      </w:r>
      <w:r w:rsidR="00387F96">
        <w:t>reference</w:t>
      </w:r>
      <w:r w:rsidR="002F32A8">
        <w:t xml:space="preserve"> displacements </w:t>
      </w:r>
      <w:r w:rsidR="00380364">
        <w:t>of</w:t>
      </w:r>
      <w:r w:rsidR="002F32A8">
        <w:t xml:space="preserve"> the </w:t>
      </w:r>
      <w:r w:rsidR="00084980">
        <w:t>End Test Masses</w:t>
      </w:r>
      <w:r w:rsidR="00380364">
        <w:t xml:space="preserve"> (ETMs)</w:t>
      </w:r>
      <w:r w:rsidR="00084980">
        <w:t xml:space="preserve">, which can be used </w:t>
      </w:r>
      <w:r w:rsidR="002F32A8">
        <w:t xml:space="preserve">to calibrate the </w:t>
      </w:r>
      <w:r w:rsidR="00380364">
        <w:t xml:space="preserve">interferometer </w:t>
      </w:r>
      <w:r w:rsidR="00084980">
        <w:t xml:space="preserve">length </w:t>
      </w:r>
      <w:r w:rsidR="002F32A8">
        <w:t xml:space="preserve">response and </w:t>
      </w:r>
      <w:r w:rsidR="00380364">
        <w:t xml:space="preserve">timing. </w:t>
      </w:r>
      <w:r w:rsidR="009A78D8">
        <w:t>Pcal</w:t>
      </w:r>
      <w:r w:rsidR="00387F96">
        <w:t xml:space="preserve"> can</w:t>
      </w:r>
      <w:r w:rsidR="00380364">
        <w:t xml:space="preserve"> also </w:t>
      </w:r>
      <w:r w:rsidR="008C15E8">
        <w:t>be used to</w:t>
      </w:r>
      <w:r w:rsidR="002F32A8">
        <w:t xml:space="preserve"> assess the stability of the electro-static drive (ESD) actuators of the </w:t>
      </w:r>
      <w:r>
        <w:t>ETMs</w:t>
      </w:r>
      <w:r w:rsidR="002F32A8">
        <w:t>.</w:t>
      </w:r>
      <w:r w:rsidR="008C15E8">
        <w:t xml:space="preserve"> Pcal is capable of inducing </w:t>
      </w:r>
      <w:r w:rsidR="00E951F1">
        <w:t xml:space="preserve">several simultaneous </w:t>
      </w:r>
      <w:r w:rsidR="00B652D1">
        <w:t>sinusoidally-</w:t>
      </w:r>
      <w:r w:rsidR="00E951F1">
        <w:t xml:space="preserve">modulated displacements with SNRs indicated in </w:t>
      </w:r>
      <w:r w:rsidR="00E951F1">
        <w:fldChar w:fldCharType="begin"/>
      </w:r>
      <w:r w:rsidR="00E951F1">
        <w:instrText xml:space="preserve"> REF _Ref309111147 \h </w:instrText>
      </w:r>
      <w:r w:rsidR="00E951F1">
        <w:fldChar w:fldCharType="separate"/>
      </w:r>
      <w:r w:rsidR="000C14DD">
        <w:t xml:space="preserve">Table </w:t>
      </w:r>
      <w:r w:rsidR="000C14DD">
        <w:rPr>
          <w:noProof/>
        </w:rPr>
        <w:t>2</w:t>
      </w:r>
      <w:r w:rsidR="00E951F1">
        <w:fldChar w:fldCharType="end"/>
      </w:r>
      <w:r w:rsidR="00CA2A0F">
        <w:t xml:space="preserve"> on page </w:t>
      </w:r>
      <w:r w:rsidR="00CA2A0F">
        <w:fldChar w:fldCharType="begin"/>
      </w:r>
      <w:r w:rsidR="00CA2A0F">
        <w:instrText xml:space="preserve"> PAGEREF _Ref310864110 \h </w:instrText>
      </w:r>
      <w:r w:rsidR="00CA2A0F">
        <w:fldChar w:fldCharType="separate"/>
      </w:r>
      <w:r w:rsidR="00CA2A0F">
        <w:rPr>
          <w:noProof/>
        </w:rPr>
        <w:t>3</w:t>
      </w:r>
      <w:r w:rsidR="00CA2A0F">
        <w:fldChar w:fldCharType="end"/>
      </w:r>
      <w:r w:rsidR="00CA2A0F">
        <w:t>.</w:t>
      </w:r>
    </w:p>
    <w:p w:rsidR="004B6AB9" w:rsidRDefault="004B6AB9" w:rsidP="004B6AB9">
      <w:pPr>
        <w:pStyle w:val="Heading1"/>
      </w:pPr>
      <w:r>
        <w:t>Scope</w:t>
      </w:r>
    </w:p>
    <w:p w:rsidR="007815E0" w:rsidRDefault="000E18FA" w:rsidP="00F829A6">
      <w:r>
        <w:t xml:space="preserve">The </w:t>
      </w:r>
      <w:r w:rsidR="009C0AA2">
        <w:t>Pcal</w:t>
      </w:r>
      <w:r>
        <w:t xml:space="preserve"> subsystem</w:t>
      </w:r>
      <w:r w:rsidR="009C0AA2">
        <w:t xml:space="preserve"> includes the hardware necessary to induce reference displacements of </w:t>
      </w:r>
      <w:r w:rsidR="00E951F1">
        <w:t xml:space="preserve">the </w:t>
      </w:r>
      <w:r w:rsidR="009C0AA2">
        <w:t>ETMs that can be used for calibrating the LIGO interferometers and ETM actuators. It includes absolute power calibration such that the required accuracy can be achieved. Each arm of each interferometer includes a Pcal</w:t>
      </w:r>
      <w:r w:rsidR="00D121E0">
        <w:t xml:space="preserve"> system. Each system includes</w:t>
      </w:r>
      <w:r w:rsidR="009C0AA2">
        <w:t xml:space="preserve"> </w:t>
      </w:r>
      <w:r w:rsidR="00D121E0">
        <w:t xml:space="preserve">a </w:t>
      </w:r>
      <w:r w:rsidR="009C0AA2">
        <w:t xml:space="preserve">transmitter pylon, </w:t>
      </w:r>
      <w:r w:rsidR="00D121E0">
        <w:t xml:space="preserve">laser, acousto-optic modulator for power modulation, power sensors, </w:t>
      </w:r>
      <w:r w:rsidR="009C0AA2">
        <w:t>opto-mechanical components, enclosure</w:t>
      </w:r>
      <w:r w:rsidR="00D121E0">
        <w:t>s</w:t>
      </w:r>
      <w:r w:rsidR="009C0AA2">
        <w:t>, and</w:t>
      </w:r>
      <w:r w:rsidR="00D121E0">
        <w:t xml:space="preserve"> associated</w:t>
      </w:r>
      <w:r w:rsidR="009C0AA2">
        <w:t xml:space="preserve"> electronics. </w:t>
      </w:r>
      <w:r w:rsidR="00D121E0">
        <w:t>Each system</w:t>
      </w:r>
      <w:r w:rsidR="009C0AA2">
        <w:t xml:space="preserve"> also include</w:t>
      </w:r>
      <w:r w:rsidR="00D121E0">
        <w:t>s</w:t>
      </w:r>
      <w:r w:rsidR="009C0AA2">
        <w:t xml:space="preserve"> in-vacuum periscope</w:t>
      </w:r>
      <w:r w:rsidR="00D121E0">
        <w:t>s</w:t>
      </w:r>
      <w:r w:rsidR="00F829A6">
        <w:t xml:space="preserve"> to direct the beams to the ETM,</w:t>
      </w:r>
      <w:r w:rsidR="00D121E0">
        <w:t xml:space="preserve"> </w:t>
      </w:r>
      <w:r w:rsidR="00F829A6">
        <w:t>minimizing</w:t>
      </w:r>
      <w:r w:rsidR="00D121E0">
        <w:t xml:space="preserve"> interference with baffles that are part of the Stra</w:t>
      </w:r>
      <w:r w:rsidR="00F829A6">
        <w:t>y Light Control (SLC) subsystem,</w:t>
      </w:r>
      <w:r w:rsidR="00D121E0">
        <w:t xml:space="preserve"> and direct</w:t>
      </w:r>
      <w:r w:rsidR="00F829A6">
        <w:t>ing</w:t>
      </w:r>
      <w:r w:rsidR="00D121E0">
        <w:t xml:space="preserve"> the beams that are reflected from the ETMs to receiver modules that are mounted in the Optical Lever receiver pylons. </w:t>
      </w:r>
    </w:p>
    <w:p w:rsidR="009C0AA2" w:rsidRPr="000E18FA" w:rsidRDefault="000E18FA" w:rsidP="00CA2A0F">
      <w:r>
        <w:t xml:space="preserve">The </w:t>
      </w:r>
      <w:r w:rsidR="00DD4FD0">
        <w:t>Pcal</w:t>
      </w:r>
      <w:r>
        <w:t xml:space="preserve"> subsystem</w:t>
      </w:r>
      <w:r w:rsidR="00DD4FD0">
        <w:t xml:space="preserve"> </w:t>
      </w:r>
      <w:r>
        <w:t>includes</w:t>
      </w:r>
      <w:r w:rsidR="00DD4FD0">
        <w:t xml:space="preserve"> </w:t>
      </w:r>
      <w:r w:rsidR="007815E0">
        <w:t xml:space="preserve">cameras and analysis software necessary for precise beam localization on the ETM surfaces. It also includes the </w:t>
      </w:r>
      <w:r>
        <w:t xml:space="preserve">facilities necessary to transfer the absolute power calibration from a </w:t>
      </w:r>
      <w:r w:rsidRPr="000E18FA">
        <w:rPr>
          <w:i/>
          <w:iCs/>
        </w:rPr>
        <w:t xml:space="preserve">Gold </w:t>
      </w:r>
      <w:r w:rsidRPr="000E18FA">
        <w:t xml:space="preserve">standard </w:t>
      </w:r>
      <w:r>
        <w:t xml:space="preserve">that is calibrated at </w:t>
      </w:r>
      <w:r w:rsidR="00CA2A0F">
        <w:t>the National Institute of Standards in Boulder, CO</w:t>
      </w:r>
      <w:r>
        <w:t xml:space="preserve"> to </w:t>
      </w:r>
      <w:r>
        <w:rPr>
          <w:i/>
          <w:iCs/>
        </w:rPr>
        <w:t>Working</w:t>
      </w:r>
      <w:r>
        <w:t xml:space="preserve"> standards that are used to calibrate the internal power sensors of each Pcal transmitter and receiver module.</w:t>
      </w:r>
    </w:p>
    <w:p w:rsidR="009C0AA2" w:rsidRPr="009C0AA2" w:rsidRDefault="007815E0" w:rsidP="007815E0">
      <w:r>
        <w:t xml:space="preserve">The Pcal subsystem </w:t>
      </w:r>
      <w:r w:rsidR="009C0AA2">
        <w:t xml:space="preserve">does </w:t>
      </w:r>
      <w:r w:rsidR="009C0AA2" w:rsidRPr="00F829A6">
        <w:rPr>
          <w:b/>
          <w:bCs/>
          <w:i/>
          <w:iCs/>
        </w:rPr>
        <w:t>not</w:t>
      </w:r>
      <w:r w:rsidR="009C0AA2">
        <w:t xml:space="preserve"> include </w:t>
      </w:r>
      <w:r>
        <w:t>the</w:t>
      </w:r>
      <w:r w:rsidR="009C0AA2">
        <w:t xml:space="preserve"> viewport window</w:t>
      </w:r>
      <w:r>
        <w:t xml:space="preserve">s, viewport </w:t>
      </w:r>
      <w:r w:rsidR="00F829A6">
        <w:t xml:space="preserve">window </w:t>
      </w:r>
      <w:r>
        <w:t>adapter flanges,</w:t>
      </w:r>
      <w:r w:rsidR="009C0AA2">
        <w:t xml:space="preserve"> </w:t>
      </w:r>
      <w:r>
        <w:t xml:space="preserve">and viewport </w:t>
      </w:r>
      <w:r w:rsidR="009C0AA2">
        <w:t>protector</w:t>
      </w:r>
      <w:r>
        <w:t>s</w:t>
      </w:r>
      <w:r w:rsidR="009C0AA2">
        <w:t xml:space="preserve">. </w:t>
      </w:r>
      <w:r w:rsidR="00DD4FD0">
        <w:t>Additionally, it</w:t>
      </w:r>
      <w:r w:rsidR="009C0AA2">
        <w:t xml:space="preserve"> does not include</w:t>
      </w:r>
      <w:r>
        <w:t xml:space="preserve"> the Laser Emergency Stop system hardware or the Laser Access Control hardware that is external to the transmitter and receiver modules.</w:t>
      </w:r>
    </w:p>
    <w:p w:rsidR="00084980" w:rsidRDefault="00DD4FD0" w:rsidP="00816A0E">
      <w:pPr>
        <w:pStyle w:val="Heading1"/>
      </w:pPr>
      <w:r>
        <w:t>Performance</w:t>
      </w:r>
      <w:r w:rsidR="00380364">
        <w:t xml:space="preserve"> Requirements</w:t>
      </w:r>
    </w:p>
    <w:p w:rsidR="00380364" w:rsidRDefault="00D42BC0" w:rsidP="00AF38CA">
      <w:pPr>
        <w:pStyle w:val="Heading2"/>
      </w:pPr>
      <w:r>
        <w:t>Accuracy of Induced Displacements</w:t>
      </w:r>
    </w:p>
    <w:p w:rsidR="00380364" w:rsidRPr="005E45C2" w:rsidRDefault="00380364" w:rsidP="0024367B">
      <w:r>
        <w:t xml:space="preserve">The </w:t>
      </w:r>
      <w:r w:rsidR="00390602">
        <w:t xml:space="preserve">amplitude of the sinusoidal </w:t>
      </w:r>
      <w:r>
        <w:t>radiation-induc</w:t>
      </w:r>
      <w:r w:rsidR="00FE3C28">
        <w:t>ed displacement</w:t>
      </w:r>
      <w:r w:rsidR="0024367B">
        <w:t>s</w:t>
      </w:r>
      <w:r w:rsidR="00FE3C28">
        <w:t xml:space="preserve"> of the</w:t>
      </w:r>
      <w:r w:rsidR="00E942E9">
        <w:t xml:space="preserve"> </w:t>
      </w:r>
      <w:r w:rsidR="00FE3C28">
        <w:t xml:space="preserve">ETMs </w:t>
      </w:r>
      <w:r w:rsidR="00207B44">
        <w:t>shall</w:t>
      </w:r>
      <w:r>
        <w:t xml:space="preserve"> be </w:t>
      </w:r>
      <w:r w:rsidR="00D42BC0">
        <w:t>accurate</w:t>
      </w:r>
      <w:r>
        <w:t xml:space="preserve"> within 5%</w:t>
      </w:r>
      <w:r w:rsidR="00157C79">
        <w:t xml:space="preserve"> and 1</w:t>
      </w:r>
      <w:r w:rsidR="00BB0571">
        <w:t>6</w:t>
      </w:r>
      <w:r w:rsidR="00157C79">
        <w:t>µs</w:t>
      </w:r>
      <w:r w:rsidR="00D42BC0">
        <w:t xml:space="preserve"> over 2σ confidence interval</w:t>
      </w:r>
      <w:r w:rsidR="0024367B">
        <w:t>s</w:t>
      </w:r>
      <w:r w:rsidR="00632723">
        <w:t>. This requirement considers</w:t>
      </w:r>
      <w:r>
        <w:t xml:space="preserve"> a </w:t>
      </w:r>
      <w:r w:rsidRPr="00D42BC0">
        <w:t xml:space="preserve">study conducted </w:t>
      </w:r>
      <w:r w:rsidR="008F60DF" w:rsidRPr="00D42BC0">
        <w:t xml:space="preserve">by </w:t>
      </w:r>
      <w:r w:rsidRPr="00D42BC0">
        <w:lastRenderedPageBreak/>
        <w:t>Lee Lindblom</w:t>
      </w:r>
      <w:r>
        <w:t xml:space="preserve"> on the </w:t>
      </w:r>
      <w:r w:rsidR="003568BC">
        <w:t xml:space="preserve">optimal calibration accuracy </w:t>
      </w:r>
      <w:r>
        <w:t>required to detect a typical binary black-hole</w:t>
      </w:r>
      <w:r w:rsidR="003568BC">
        <w:t xml:space="preserve"> signal</w:t>
      </w:r>
      <w:r>
        <w:rPr>
          <w:rStyle w:val="FootnoteReference"/>
        </w:rPr>
        <w:footnoteReference w:id="1"/>
      </w:r>
      <w:r>
        <w:t xml:space="preserve"> </w:t>
      </w:r>
      <w:r w:rsidR="00632723">
        <w:t xml:space="preserve"> and a presentation by the LSC Calibration Committee on aLIGO calibration requirements (</w:t>
      </w:r>
      <w:hyperlink r:id="rId13" w:history="1">
        <w:r w:rsidR="00632723" w:rsidRPr="00BB0571">
          <w:rPr>
            <w:rStyle w:val="Hyperlink"/>
          </w:rPr>
          <w:t>LIGO-G1000274</w:t>
        </w:r>
      </w:hyperlink>
      <w:r w:rsidR="00632723">
        <w:t>).</w:t>
      </w:r>
    </w:p>
    <w:p w:rsidR="00380364" w:rsidRDefault="00D42BC0" w:rsidP="00AF38CA">
      <w:pPr>
        <w:pStyle w:val="Heading2"/>
      </w:pPr>
      <w:r>
        <w:t>Amplitude of Excitation Lines</w:t>
      </w:r>
    </w:p>
    <w:p w:rsidR="00380364" w:rsidRPr="00380364" w:rsidRDefault="00380364" w:rsidP="00390602">
      <w:r>
        <w:t xml:space="preserve">Each </w:t>
      </w:r>
      <w:r w:rsidR="009A78D8">
        <w:t>Pcal</w:t>
      </w:r>
      <w:r>
        <w:t xml:space="preserve"> </w:t>
      </w:r>
      <w:r w:rsidR="00207B44">
        <w:t>shall</w:t>
      </w:r>
      <w:r>
        <w:t xml:space="preserve"> operate continuously, </w:t>
      </w:r>
      <w:r w:rsidR="00390602">
        <w:t>simultaneously inducing periodic</w:t>
      </w:r>
      <w:r>
        <w:t xml:space="preserve"> displacements </w:t>
      </w:r>
      <w:r w:rsidR="00D42BC0">
        <w:t>of the ETMs</w:t>
      </w:r>
      <w:r w:rsidR="00390602">
        <w:t xml:space="preserve"> at several frequencies</w:t>
      </w:r>
      <w:r w:rsidR="00D42BC0">
        <w:t xml:space="preserve">. </w:t>
      </w:r>
      <w:r w:rsidR="00D42BC0">
        <w:fldChar w:fldCharType="begin"/>
      </w:r>
      <w:r w:rsidR="00D42BC0">
        <w:instrText xml:space="preserve"> REF _Ref309111147 \h </w:instrText>
      </w:r>
      <w:r w:rsidR="00D42BC0">
        <w:fldChar w:fldCharType="separate"/>
      </w:r>
      <w:r w:rsidR="000C14DD">
        <w:t xml:space="preserve">Table </w:t>
      </w:r>
      <w:r w:rsidR="000C14DD">
        <w:rPr>
          <w:noProof/>
        </w:rPr>
        <w:t>2</w:t>
      </w:r>
      <w:r w:rsidR="00D42BC0">
        <w:fldChar w:fldCharType="end"/>
      </w:r>
      <w:r w:rsidR="00D42BC0">
        <w:t xml:space="preserve">, below, indicates the required </w:t>
      </w:r>
      <w:r w:rsidR="00390602">
        <w:t>SNRs</w:t>
      </w:r>
      <w:r w:rsidR="00D42BC0">
        <w:t xml:space="preserve"> of Pcal’s calibration lines. These</w:t>
      </w:r>
      <w:r w:rsidR="00390602">
        <w:t xml:space="preserve"> requirements apply to the “zero-</w:t>
      </w:r>
      <w:r w:rsidR="00D42BC0">
        <w:t>detuning, high power</w:t>
      </w:r>
      <w:r w:rsidR="00390602">
        <w:t>”</w:t>
      </w:r>
      <w:r w:rsidR="00D42BC0">
        <w:t xml:space="preserve"> sensitivity curve (</w:t>
      </w:r>
      <w:hyperlink r:id="rId14" w:history="1">
        <w:r w:rsidR="00D42BC0" w:rsidRPr="00D42BC0">
          <w:rPr>
            <w:rStyle w:val="Hyperlink"/>
          </w:rPr>
          <w:t>LIGO-T0900288</w:t>
        </w:r>
      </w:hyperlink>
      <w:r w:rsidR="00D42BC0">
        <w:t>).</w:t>
      </w:r>
    </w:p>
    <w:p w:rsidR="00D42BC0" w:rsidRDefault="00D42BC0" w:rsidP="00E942E9">
      <w:pPr>
        <w:pStyle w:val="Caption"/>
        <w:keepNext/>
        <w:jc w:val="center"/>
      </w:pPr>
      <w:bookmarkStart w:id="1" w:name="_Ref309111147"/>
      <w:bookmarkStart w:id="2" w:name="_Ref310864110"/>
      <w:r>
        <w:t xml:space="preserve">Table </w:t>
      </w:r>
      <w:fldSimple w:instr=" SEQ Table \* ARABIC ">
        <w:r w:rsidR="000C14DD">
          <w:rPr>
            <w:noProof/>
          </w:rPr>
          <w:t>2</w:t>
        </w:r>
      </w:fldSimple>
      <w:bookmarkEnd w:id="1"/>
      <w:r>
        <w:t xml:space="preserve"> – Required Pcal Calibration Lines</w:t>
      </w:r>
      <w:bookmarkEnd w:id="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26"/>
        <w:gridCol w:w="2564"/>
        <w:gridCol w:w="3150"/>
      </w:tblGrid>
      <w:tr w:rsidR="001B2930" w:rsidTr="001B2930">
        <w:trPr>
          <w:trHeight w:val="802"/>
        </w:trPr>
        <w:tc>
          <w:tcPr>
            <w:tcW w:w="2088" w:type="dxa"/>
            <w:shd w:val="clear" w:color="auto" w:fill="auto"/>
            <w:vAlign w:val="center"/>
          </w:tcPr>
          <w:p w:rsidR="001B2930" w:rsidRPr="0080063C" w:rsidRDefault="001B2930" w:rsidP="00A11202">
            <w:pPr>
              <w:jc w:val="center"/>
              <w:rPr>
                <w:b/>
                <w:i/>
              </w:rPr>
            </w:pPr>
            <w:r>
              <w:rPr>
                <w:b/>
                <w:i/>
              </w:rPr>
              <w:t>Fr</w:t>
            </w:r>
            <w:r w:rsidRPr="0080063C">
              <w:rPr>
                <w:b/>
                <w:i/>
              </w:rPr>
              <w:t>equency</w:t>
            </w:r>
          </w:p>
        </w:tc>
        <w:tc>
          <w:tcPr>
            <w:tcW w:w="2026" w:type="dxa"/>
            <w:shd w:val="clear" w:color="auto" w:fill="auto"/>
            <w:vAlign w:val="center"/>
          </w:tcPr>
          <w:p w:rsidR="001B2930" w:rsidRPr="0080063C" w:rsidRDefault="001B2930" w:rsidP="00A11202">
            <w:pPr>
              <w:jc w:val="center"/>
              <w:rPr>
                <w:b/>
                <w:i/>
              </w:rPr>
            </w:pPr>
            <w:r>
              <w:rPr>
                <w:b/>
                <w:i/>
              </w:rPr>
              <w:t xml:space="preserve">DFT </w:t>
            </w:r>
            <w:r w:rsidRPr="0080063C">
              <w:rPr>
                <w:b/>
                <w:i/>
              </w:rPr>
              <w:t>length</w:t>
            </w:r>
          </w:p>
        </w:tc>
        <w:tc>
          <w:tcPr>
            <w:tcW w:w="2564" w:type="dxa"/>
            <w:vAlign w:val="center"/>
          </w:tcPr>
          <w:p w:rsidR="001B2930" w:rsidRPr="0080063C" w:rsidRDefault="001B2930" w:rsidP="00A11202">
            <w:pPr>
              <w:jc w:val="center"/>
              <w:rPr>
                <w:b/>
                <w:i/>
              </w:rPr>
            </w:pPr>
            <w:r w:rsidRPr="0080063C">
              <w:rPr>
                <w:b/>
                <w:i/>
              </w:rPr>
              <w:t>Signal-to-Noise Ratio</w:t>
            </w:r>
          </w:p>
        </w:tc>
        <w:tc>
          <w:tcPr>
            <w:tcW w:w="3150" w:type="dxa"/>
            <w:vAlign w:val="center"/>
          </w:tcPr>
          <w:p w:rsidR="001B2930" w:rsidRPr="00E942E9" w:rsidRDefault="001B2930" w:rsidP="00E942E9">
            <w:pPr>
              <w:jc w:val="center"/>
              <w:rPr>
                <w:b/>
                <w:i/>
              </w:rPr>
            </w:pPr>
            <w:r>
              <w:rPr>
                <w:b/>
                <w:i/>
              </w:rPr>
              <w:t>Displaceme</w:t>
            </w:r>
            <w:r w:rsidR="00E942E9">
              <w:rPr>
                <w:b/>
                <w:i/>
              </w:rPr>
              <w:t>nt (</w:t>
            </w:r>
            <w:r w:rsidR="00E942E9" w:rsidRPr="00E942E9">
              <w:rPr>
                <w:b/>
                <w:i/>
              </w:rPr>
              <w:t>m</w:t>
            </w:r>
            <w:r w:rsidR="00E942E9" w:rsidRPr="00E942E9">
              <w:rPr>
                <w:b/>
                <w:i/>
                <w:vertAlign w:val="subscript"/>
              </w:rPr>
              <w:t>rms</w:t>
            </w:r>
            <w:r w:rsidR="00E942E9" w:rsidRPr="00E942E9">
              <w:rPr>
                <w:b/>
                <w:i/>
              </w:rPr>
              <w:t>Hz</w:t>
            </w:r>
            <w:r w:rsidR="00E942E9" w:rsidRPr="00E942E9">
              <w:rPr>
                <w:b/>
                <w:i/>
                <w:vertAlign w:val="superscript"/>
              </w:rPr>
              <w:t>-1/</w:t>
            </w:r>
            <w:r w:rsidR="00E942E9">
              <w:rPr>
                <w:b/>
                <w:i/>
                <w:vertAlign w:val="superscript"/>
              </w:rPr>
              <w:t>2</w:t>
            </w:r>
            <w:r w:rsidR="00E942E9">
              <w:rPr>
                <w:b/>
                <w:i/>
              </w:rPr>
              <w:t>)</w:t>
            </w:r>
          </w:p>
        </w:tc>
      </w:tr>
      <w:tr w:rsidR="001B2930" w:rsidTr="001B2930">
        <w:tc>
          <w:tcPr>
            <w:tcW w:w="2088" w:type="dxa"/>
            <w:shd w:val="clear" w:color="auto" w:fill="auto"/>
          </w:tcPr>
          <w:p w:rsidR="001B2930" w:rsidRPr="0080063C" w:rsidRDefault="001B2930" w:rsidP="007E34E3">
            <w:pPr>
              <w:jc w:val="center"/>
            </w:pPr>
            <w:r w:rsidRPr="0080063C">
              <w:t>50 Hz</w:t>
            </w:r>
          </w:p>
        </w:tc>
        <w:tc>
          <w:tcPr>
            <w:tcW w:w="2026" w:type="dxa"/>
            <w:shd w:val="clear" w:color="auto" w:fill="auto"/>
          </w:tcPr>
          <w:p w:rsidR="001B2930" w:rsidRPr="0080063C" w:rsidRDefault="001B2930" w:rsidP="00991F70">
            <w:pPr>
              <w:jc w:val="center"/>
            </w:pPr>
            <w:r w:rsidRPr="0080063C">
              <w:t>1</w:t>
            </w:r>
            <w:r>
              <w:t xml:space="preserve"> </w:t>
            </w:r>
            <w:r w:rsidRPr="0080063C">
              <w:t>second</w:t>
            </w:r>
          </w:p>
        </w:tc>
        <w:tc>
          <w:tcPr>
            <w:tcW w:w="2564" w:type="dxa"/>
          </w:tcPr>
          <w:p w:rsidR="001B2930" w:rsidRPr="0080063C" w:rsidRDefault="001B2930" w:rsidP="007B68A2">
            <w:pPr>
              <w:jc w:val="center"/>
            </w:pPr>
            <w:r w:rsidRPr="0080063C">
              <w:t>20</w:t>
            </w:r>
          </w:p>
        </w:tc>
        <w:tc>
          <w:tcPr>
            <w:tcW w:w="3150" w:type="dxa"/>
          </w:tcPr>
          <w:p w:rsidR="001B2930" w:rsidRPr="0080063C" w:rsidRDefault="001B2930" w:rsidP="00300A9A">
            <w:pPr>
              <w:jc w:val="center"/>
            </w:pPr>
            <m:oMathPara>
              <m:oMath>
                <m:r>
                  <w:rPr>
                    <w:rFonts w:ascii="Cambria Math" w:hAnsi="Cambria Math"/>
                  </w:rPr>
                  <m:t>4.02×</m:t>
                </m:r>
                <m:sSup>
                  <m:sSupPr>
                    <m:ctrlPr>
                      <w:rPr>
                        <w:rFonts w:ascii="Cambria Math" w:hAnsi="Cambria Math"/>
                        <w:i/>
                      </w:rPr>
                    </m:ctrlPr>
                  </m:sSupPr>
                  <m:e>
                    <m:r>
                      <w:rPr>
                        <w:rFonts w:ascii="Cambria Math" w:hAnsi="Cambria Math"/>
                      </w:rPr>
                      <m:t>10</m:t>
                    </m:r>
                  </m:e>
                  <m:sup>
                    <m:r>
                      <w:rPr>
                        <w:rFonts w:ascii="Cambria Math" w:hAnsi="Cambria Math"/>
                      </w:rPr>
                      <m:t>-19</m:t>
                    </m:r>
                  </m:sup>
                </m:sSup>
              </m:oMath>
            </m:oMathPara>
          </w:p>
        </w:tc>
      </w:tr>
      <w:tr w:rsidR="001B2930" w:rsidTr="001B2930">
        <w:tc>
          <w:tcPr>
            <w:tcW w:w="2088" w:type="dxa"/>
            <w:shd w:val="clear" w:color="auto" w:fill="auto"/>
          </w:tcPr>
          <w:p w:rsidR="001B2930" w:rsidRPr="0080063C" w:rsidRDefault="001B2930" w:rsidP="007E34E3">
            <w:pPr>
              <w:jc w:val="center"/>
            </w:pPr>
            <w:r w:rsidRPr="0080063C">
              <w:t>350 - 450 Hz</w:t>
            </w:r>
          </w:p>
        </w:tc>
        <w:tc>
          <w:tcPr>
            <w:tcW w:w="2026" w:type="dxa"/>
            <w:shd w:val="clear" w:color="auto" w:fill="auto"/>
          </w:tcPr>
          <w:p w:rsidR="001B2930" w:rsidRPr="0080063C" w:rsidRDefault="001B2930" w:rsidP="00991F70">
            <w:pPr>
              <w:jc w:val="center"/>
            </w:pPr>
            <w:r>
              <w:t>1 s</w:t>
            </w:r>
            <w:r w:rsidRPr="0080063C">
              <w:t>econd</w:t>
            </w:r>
          </w:p>
        </w:tc>
        <w:tc>
          <w:tcPr>
            <w:tcW w:w="2564" w:type="dxa"/>
          </w:tcPr>
          <w:p w:rsidR="001B2930" w:rsidRPr="0080063C" w:rsidRDefault="001B2930" w:rsidP="007B68A2">
            <w:pPr>
              <w:jc w:val="center"/>
            </w:pPr>
            <w:r w:rsidRPr="0080063C">
              <w:t>20</w:t>
            </w:r>
          </w:p>
        </w:tc>
        <w:tc>
          <w:tcPr>
            <w:tcW w:w="3150" w:type="dxa"/>
          </w:tcPr>
          <w:p w:rsidR="001B2930" w:rsidRPr="0080063C" w:rsidRDefault="001B2930" w:rsidP="00300A9A">
            <w:pPr>
              <w:jc w:val="center"/>
            </w:pPr>
            <m:oMathPara>
              <m:oMath>
                <m:r>
                  <w:rPr>
                    <w:rFonts w:ascii="Cambria Math" w:hAnsi="Cambria Math"/>
                  </w:rPr>
                  <m:t>3.07×</m:t>
                </m:r>
                <m:sSup>
                  <m:sSupPr>
                    <m:ctrlPr>
                      <w:rPr>
                        <w:rFonts w:ascii="Cambria Math" w:hAnsi="Cambria Math"/>
                        <w:i/>
                      </w:rPr>
                    </m:ctrlPr>
                  </m:sSupPr>
                  <m:e>
                    <m:r>
                      <w:rPr>
                        <w:rFonts w:ascii="Cambria Math" w:hAnsi="Cambria Math"/>
                      </w:rPr>
                      <m:t>10</m:t>
                    </m:r>
                  </m:e>
                  <m:sup>
                    <m:r>
                      <w:rPr>
                        <w:rFonts w:ascii="Cambria Math" w:hAnsi="Cambria Math"/>
                      </w:rPr>
                      <m:t>-19</m:t>
                    </m:r>
                  </m:sup>
                </m:sSup>
              </m:oMath>
            </m:oMathPara>
          </w:p>
        </w:tc>
      </w:tr>
      <w:tr w:rsidR="001B2930" w:rsidTr="001B2930">
        <w:tc>
          <w:tcPr>
            <w:tcW w:w="2088" w:type="dxa"/>
            <w:shd w:val="clear" w:color="auto" w:fill="auto"/>
          </w:tcPr>
          <w:p w:rsidR="001B2930" w:rsidRPr="0080063C" w:rsidRDefault="001B2930" w:rsidP="007E34E3">
            <w:pPr>
              <w:jc w:val="center"/>
            </w:pPr>
            <w:r w:rsidRPr="0080063C">
              <w:t>1,000 – 1,200 Hz</w:t>
            </w:r>
          </w:p>
        </w:tc>
        <w:tc>
          <w:tcPr>
            <w:tcW w:w="2026" w:type="dxa"/>
            <w:shd w:val="clear" w:color="auto" w:fill="auto"/>
          </w:tcPr>
          <w:p w:rsidR="001B2930" w:rsidRPr="0080063C" w:rsidRDefault="001B2930" w:rsidP="007E34E3">
            <w:pPr>
              <w:jc w:val="center"/>
            </w:pPr>
            <w:r>
              <w:t xml:space="preserve">1 </w:t>
            </w:r>
            <w:r w:rsidRPr="0080063C">
              <w:t>second</w:t>
            </w:r>
          </w:p>
        </w:tc>
        <w:tc>
          <w:tcPr>
            <w:tcW w:w="2564" w:type="dxa"/>
          </w:tcPr>
          <w:p w:rsidR="001B2930" w:rsidRPr="0080063C" w:rsidRDefault="001B2930" w:rsidP="007B68A2">
            <w:pPr>
              <w:jc w:val="center"/>
            </w:pPr>
            <w:r w:rsidRPr="0080063C">
              <w:t>20</w:t>
            </w:r>
          </w:p>
        </w:tc>
        <w:tc>
          <w:tcPr>
            <w:tcW w:w="3150" w:type="dxa"/>
          </w:tcPr>
          <w:p w:rsidR="001B2930" w:rsidRPr="0080063C" w:rsidRDefault="001B2930" w:rsidP="00300A9A">
            <w:pPr>
              <w:jc w:val="center"/>
            </w:pPr>
            <m:oMathPara>
              <m:oMath>
                <m:r>
                  <w:rPr>
                    <w:rFonts w:ascii="Cambria Math" w:hAnsi="Cambria Math"/>
                  </w:rPr>
                  <m:t>4.60×</m:t>
                </m:r>
                <m:sSup>
                  <m:sSupPr>
                    <m:ctrlPr>
                      <w:rPr>
                        <w:rFonts w:ascii="Cambria Math" w:hAnsi="Cambria Math"/>
                        <w:i/>
                      </w:rPr>
                    </m:ctrlPr>
                  </m:sSupPr>
                  <m:e>
                    <m:r>
                      <w:rPr>
                        <w:rFonts w:ascii="Cambria Math" w:hAnsi="Cambria Math"/>
                      </w:rPr>
                      <m:t>10</m:t>
                    </m:r>
                  </m:e>
                  <m:sup>
                    <m:r>
                      <w:rPr>
                        <w:rFonts w:ascii="Cambria Math" w:hAnsi="Cambria Math"/>
                      </w:rPr>
                      <m:t>-19</m:t>
                    </m:r>
                  </m:sup>
                </m:sSup>
              </m:oMath>
            </m:oMathPara>
          </w:p>
        </w:tc>
      </w:tr>
      <w:tr w:rsidR="001B2930" w:rsidTr="001B2930">
        <w:tc>
          <w:tcPr>
            <w:tcW w:w="2088" w:type="dxa"/>
            <w:shd w:val="clear" w:color="auto" w:fill="auto"/>
          </w:tcPr>
          <w:p w:rsidR="001B2930" w:rsidRPr="0080063C" w:rsidRDefault="001B2930" w:rsidP="00380364">
            <w:pPr>
              <w:jc w:val="center"/>
            </w:pPr>
            <w:r w:rsidRPr="0080063C">
              <w:t>1,900 – 2,100 Hz</w:t>
            </w:r>
          </w:p>
        </w:tc>
        <w:tc>
          <w:tcPr>
            <w:tcW w:w="2026" w:type="dxa"/>
            <w:shd w:val="clear" w:color="auto" w:fill="auto"/>
          </w:tcPr>
          <w:p w:rsidR="001B2930" w:rsidRPr="0080063C" w:rsidRDefault="001B2930" w:rsidP="007E34E3">
            <w:pPr>
              <w:jc w:val="center"/>
            </w:pPr>
            <w:r>
              <w:t xml:space="preserve">60 </w:t>
            </w:r>
            <w:r w:rsidRPr="0080063C">
              <w:t>second</w:t>
            </w:r>
          </w:p>
        </w:tc>
        <w:tc>
          <w:tcPr>
            <w:tcW w:w="2564" w:type="dxa"/>
          </w:tcPr>
          <w:p w:rsidR="001B2930" w:rsidRPr="0080063C" w:rsidRDefault="001B2930" w:rsidP="007B68A2">
            <w:pPr>
              <w:jc w:val="center"/>
            </w:pPr>
            <w:r>
              <w:t>1</w:t>
            </w:r>
            <w:r w:rsidRPr="0080063C">
              <w:t>0</w:t>
            </w:r>
          </w:p>
        </w:tc>
        <w:tc>
          <w:tcPr>
            <w:tcW w:w="3150" w:type="dxa"/>
          </w:tcPr>
          <w:p w:rsidR="001B2930" w:rsidRPr="0080063C" w:rsidRDefault="001B2930" w:rsidP="00300A9A">
            <w:pPr>
              <w:jc w:val="center"/>
            </w:pPr>
            <m:oMathPara>
              <m:oMath>
                <m:r>
                  <w:rPr>
                    <w:rFonts w:ascii="Cambria Math" w:hAnsi="Cambria Math"/>
                  </w:rPr>
                  <m:t>3.67×</m:t>
                </m:r>
                <m:sSup>
                  <m:sSupPr>
                    <m:ctrlPr>
                      <w:rPr>
                        <w:rFonts w:ascii="Cambria Math" w:hAnsi="Cambria Math"/>
                        <w:i/>
                      </w:rPr>
                    </m:ctrlPr>
                  </m:sSupPr>
                  <m:e>
                    <m:r>
                      <w:rPr>
                        <w:rFonts w:ascii="Cambria Math" w:hAnsi="Cambria Math"/>
                      </w:rPr>
                      <m:t>10</m:t>
                    </m:r>
                  </m:e>
                  <m:sup>
                    <m:r>
                      <w:rPr>
                        <w:rFonts w:ascii="Cambria Math" w:hAnsi="Cambria Math"/>
                      </w:rPr>
                      <m:t>-19</m:t>
                    </m:r>
                  </m:sup>
                </m:sSup>
              </m:oMath>
            </m:oMathPara>
          </w:p>
        </w:tc>
      </w:tr>
    </w:tbl>
    <w:p w:rsidR="00337283" w:rsidRDefault="00337283" w:rsidP="00AF38CA">
      <w:pPr>
        <w:pStyle w:val="Heading2"/>
      </w:pPr>
      <w:r>
        <w:t>Swept-Sine Measurements</w:t>
      </w:r>
    </w:p>
    <w:p w:rsidR="00793D5D" w:rsidRDefault="009A78D8" w:rsidP="00390602">
      <w:r>
        <w:t>Pcal</w:t>
      </w:r>
      <w:r w:rsidR="00337283">
        <w:t xml:space="preserve"> shall be capable</w:t>
      </w:r>
      <w:r w:rsidR="00207B44">
        <w:t xml:space="preserve"> of</w:t>
      </w:r>
      <w:r w:rsidR="00337283">
        <w:t xml:space="preserve"> performing swept-sine measurement</w:t>
      </w:r>
      <w:r w:rsidR="00D26877">
        <w:t>s</w:t>
      </w:r>
      <w:r w:rsidR="00337283">
        <w:t xml:space="preserve"> of the interferometer length response from</w:t>
      </w:r>
      <w:r w:rsidR="0081094D">
        <w:t xml:space="preserve"> 10 Hz to 1 kHz in </w:t>
      </w:r>
      <w:r w:rsidR="00BD2452">
        <w:t>less than</w:t>
      </w:r>
      <w:r w:rsidR="001A650A">
        <w:t xml:space="preserve"> 1 hour</w:t>
      </w:r>
      <w:r w:rsidR="00390602">
        <w:t xml:space="preserve"> with coherence of 99% or better</w:t>
      </w:r>
      <w:r w:rsidR="001A650A">
        <w:t xml:space="preserve"> using </w:t>
      </w:r>
      <w:r w:rsidR="00390602">
        <w:t>CDS software</w:t>
      </w:r>
      <w:r w:rsidR="0081094D">
        <w:t>.</w:t>
      </w:r>
    </w:p>
    <w:p w:rsidR="00BD2452" w:rsidRDefault="00024F94" w:rsidP="00AF38CA">
      <w:pPr>
        <w:pStyle w:val="Heading2"/>
      </w:pPr>
      <w:r>
        <w:t>UTC</w:t>
      </w:r>
      <w:r w:rsidR="00BD2452">
        <w:t xml:space="preserve"> Synchronization</w:t>
      </w:r>
    </w:p>
    <w:p w:rsidR="00084980" w:rsidRDefault="00F93709" w:rsidP="009355AD">
      <w:r>
        <w:t>All excitations shall</w:t>
      </w:r>
      <w:r w:rsidR="00BD2452">
        <w:t xml:space="preserve"> be</w:t>
      </w:r>
      <w:r w:rsidR="00084980">
        <w:t xml:space="preserve"> </w:t>
      </w:r>
      <w:r w:rsidR="00D26877">
        <w:t xml:space="preserve">independently and directly </w:t>
      </w:r>
      <w:r w:rsidR="00084980">
        <w:t xml:space="preserve">synchronized </w:t>
      </w:r>
      <w:r w:rsidR="009355AD">
        <w:t>to UTC</w:t>
      </w:r>
      <w:r w:rsidR="00024F94">
        <w:t xml:space="preserve"> via GPS.</w:t>
      </w:r>
    </w:p>
    <w:p w:rsidR="00E66DB4" w:rsidRDefault="00E66DB4" w:rsidP="00E66DB4">
      <w:pPr>
        <w:pStyle w:val="Heading2"/>
      </w:pPr>
      <w:bookmarkStart w:id="3" w:name="_Toc292192996"/>
      <w:r>
        <w:t>Reliability</w:t>
      </w:r>
      <w:bookmarkEnd w:id="3"/>
    </w:p>
    <w:p w:rsidR="00E66DB4" w:rsidRDefault="00E66DB4" w:rsidP="00B652D1">
      <w:r>
        <w:t>Mean Time Between Failure for out-of-</w:t>
      </w:r>
      <w:r w:rsidR="00C01FD3">
        <w:t>vacuum components</w:t>
      </w:r>
      <w:r w:rsidR="00AB0E3B">
        <w:t>, including lasers and electronics,</w:t>
      </w:r>
      <w:r w:rsidR="00C01FD3">
        <w:t xml:space="preserve"> shall be at least </w:t>
      </w:r>
      <w:r w:rsidR="00F93709">
        <w:t>10,000 hours</w:t>
      </w:r>
      <w:r w:rsidR="00AB0E3B">
        <w:t xml:space="preserve">. Pcal does not </w:t>
      </w:r>
      <w:r w:rsidR="00B652D1">
        <w:t>have</w:t>
      </w:r>
      <w:r w:rsidR="00AB0E3B">
        <w:t xml:space="preserve"> active in-chamber components.</w:t>
      </w:r>
    </w:p>
    <w:p w:rsidR="000871E9" w:rsidRDefault="000871E9" w:rsidP="000871E9">
      <w:pPr>
        <w:pStyle w:val="Heading2"/>
      </w:pPr>
      <w:bookmarkStart w:id="4" w:name="_Toc292192997"/>
      <w:r>
        <w:t>Displacement Noise</w:t>
      </w:r>
      <w:bookmarkEnd w:id="4"/>
      <w:r>
        <w:t xml:space="preserve"> (ISC)</w:t>
      </w:r>
    </w:p>
    <w:p w:rsidR="000871E9" w:rsidRDefault="000871E9" w:rsidP="00040C24">
      <w:r>
        <w:t>Amplitude spectral displacement noise from Pcal, other than intentional reference displacements, shall not exceed 10% of the design sensit</w:t>
      </w:r>
      <w:r w:rsidR="00040C24">
        <w:t>ivity of the interferometer (</w:t>
      </w:r>
      <w:r>
        <w:t>“zero-detuning, high power”</w:t>
      </w:r>
      <w:r w:rsidR="00040C24">
        <w:t xml:space="preserve"> curve,</w:t>
      </w:r>
      <w:r>
        <w:t xml:space="preserve"> </w:t>
      </w:r>
      <w:hyperlink r:id="rId15" w:history="1">
        <w:r w:rsidRPr="007420DC">
          <w:rPr>
            <w:rStyle w:val="Hyperlink"/>
          </w:rPr>
          <w:t>LIGO-T0900288</w:t>
        </w:r>
      </w:hyperlink>
      <w:r w:rsidR="00040C24">
        <w:rPr>
          <w:rStyle w:val="Hyperlink"/>
        </w:rPr>
        <w:t>)</w:t>
      </w:r>
      <w:r>
        <w:t>.</w:t>
      </w:r>
    </w:p>
    <w:p w:rsidR="005F48B2" w:rsidRDefault="00AF4AE1" w:rsidP="00743F2F">
      <w:pPr>
        <w:pStyle w:val="Heading1"/>
      </w:pPr>
      <w:bookmarkStart w:id="5" w:name="_Toc292192999"/>
      <w:r>
        <w:t>Interface</w:t>
      </w:r>
      <w:bookmarkEnd w:id="5"/>
      <w:r w:rsidR="00743F2F">
        <w:t>s</w:t>
      </w:r>
    </w:p>
    <w:p w:rsidR="00FB7325" w:rsidRPr="00FB7325" w:rsidRDefault="0088268A" w:rsidP="00743F2F">
      <w:pPr>
        <w:pStyle w:val="Heading2"/>
      </w:pPr>
      <w:bookmarkStart w:id="6" w:name="_Toc292193001"/>
      <w:r>
        <w:t xml:space="preserve">Location of </w:t>
      </w:r>
      <w:r w:rsidR="0005690C">
        <w:t>Receiv</w:t>
      </w:r>
      <w:r w:rsidR="000E70AA">
        <w:t>er</w:t>
      </w:r>
      <w:r w:rsidR="000319DC">
        <w:t xml:space="preserve"> </w:t>
      </w:r>
      <w:r w:rsidR="00FB7325">
        <w:t>Pylons</w:t>
      </w:r>
      <w:bookmarkEnd w:id="6"/>
      <w:r>
        <w:t xml:space="preserve"> (AOS Optical Levers)</w:t>
      </w:r>
    </w:p>
    <w:p w:rsidR="0001668E" w:rsidRDefault="00D22DE4" w:rsidP="00B40AF4">
      <w:r>
        <w:t xml:space="preserve">The </w:t>
      </w:r>
      <w:r w:rsidR="009A78D8">
        <w:t>Pcal</w:t>
      </w:r>
      <w:r>
        <w:t xml:space="preserve"> </w:t>
      </w:r>
      <w:r w:rsidR="000E70AA">
        <w:t>receiver</w:t>
      </w:r>
      <w:r w:rsidR="00145C70">
        <w:t xml:space="preserve"> </w:t>
      </w:r>
      <w:r w:rsidR="00FB7325">
        <w:t>modules</w:t>
      </w:r>
      <w:r>
        <w:t xml:space="preserve"> will </w:t>
      </w:r>
      <w:r w:rsidR="00145C70">
        <w:t xml:space="preserve">be mounted </w:t>
      </w:r>
      <w:r w:rsidR="00FB7325">
        <w:t>with</w:t>
      </w:r>
      <w:r w:rsidR="00145C70">
        <w:t>in</w:t>
      </w:r>
      <w:r>
        <w:t xml:space="preserve"> the </w:t>
      </w:r>
      <w:r w:rsidR="00145C70">
        <w:t xml:space="preserve">Optical Lever </w:t>
      </w:r>
      <w:r w:rsidR="0038306A">
        <w:t xml:space="preserve">receiver </w:t>
      </w:r>
      <w:r w:rsidR="00145C70">
        <w:t>pylons.</w:t>
      </w:r>
      <w:r w:rsidR="00CB628C">
        <w:t xml:space="preserve"> </w:t>
      </w:r>
      <w:r w:rsidR="0001668E">
        <w:t xml:space="preserve">The location of the Pcal receiver module mounting surface (part of the Optical Lever receiver pylon) with </w:t>
      </w:r>
      <w:r w:rsidR="0001668E">
        <w:lastRenderedPageBreak/>
        <w:t xml:space="preserve">respect to the center of the </w:t>
      </w:r>
      <w:r w:rsidR="00B42252">
        <w:t>ConFlat</w:t>
      </w:r>
      <w:r w:rsidR="0001668E">
        <w:t xml:space="preserve"> flange for </w:t>
      </w:r>
      <w:r w:rsidR="00B40AF4">
        <w:t xml:space="preserve">the Pcal receiver beam will have a tolerance of </w:t>
      </w:r>
      <w:r w:rsidR="00B40AF4" w:rsidRPr="00B40AF4">
        <w:rPr>
          <w:rFonts w:asciiTheme="majorBidi" w:hAnsiTheme="majorBidi" w:cstheme="majorBidi"/>
        </w:rPr>
        <w:t>±</w:t>
      </w:r>
      <w:r w:rsidR="00B40AF4" w:rsidRPr="00B40AF4">
        <w:rPr>
          <w:rStyle w:val="apple-style-span"/>
          <w:rFonts w:asciiTheme="majorBidi" w:hAnsiTheme="majorBidi" w:cstheme="majorBidi"/>
          <w:color w:val="222222"/>
          <w:shd w:val="clear" w:color="auto" w:fill="FFFFFF"/>
        </w:rPr>
        <w:t>⅛”</w:t>
      </w:r>
      <w:r w:rsidR="00B40AF4">
        <w:rPr>
          <w:rStyle w:val="apple-style-span"/>
          <w:rFonts w:asciiTheme="majorBidi" w:hAnsiTheme="majorBidi" w:cstheme="majorBidi"/>
          <w:color w:val="222222"/>
          <w:shd w:val="clear" w:color="auto" w:fill="FFFFFF"/>
        </w:rPr>
        <w:t xml:space="preserve"> in both the vertical and lateral dimensions.</w:t>
      </w:r>
      <w:r w:rsidR="00B40AF4">
        <w:t xml:space="preserve"> </w:t>
      </w:r>
    </w:p>
    <w:p w:rsidR="000871E9" w:rsidRDefault="000871E9" w:rsidP="00B9402C">
      <w:r>
        <w:t xml:space="preserve">Normal operation and regular work within the Pcal </w:t>
      </w:r>
      <w:r w:rsidR="00B9402C">
        <w:t>receiver module</w:t>
      </w:r>
      <w:r>
        <w:t xml:space="preserve"> shall not disrupt operation of the Optical Lever during science mode, misalign the Optical Lever beam, or contribute angular instability to the support structure.</w:t>
      </w:r>
    </w:p>
    <w:p w:rsidR="00901063" w:rsidRPr="00FB7325" w:rsidRDefault="00D512AD" w:rsidP="00743F2F">
      <w:pPr>
        <w:pStyle w:val="Heading2"/>
      </w:pPr>
      <w:r>
        <w:t>Vacuum Manifold</w:t>
      </w:r>
      <w:r w:rsidR="0088268A">
        <w:t xml:space="preserve"> (</w:t>
      </w:r>
      <w:r w:rsidR="00E81280">
        <w:t>VE</w:t>
      </w:r>
      <w:r w:rsidR="0088268A">
        <w:t>)</w:t>
      </w:r>
    </w:p>
    <w:p w:rsidR="00901063" w:rsidRDefault="00901063" w:rsidP="007420DC">
      <w:r>
        <w:t>The periscopes within the vacuum manifold will be held in place by aluminum compression rings</w:t>
      </w:r>
      <w:r w:rsidR="00C77F47">
        <w:t xml:space="preserve"> which are </w:t>
      </w:r>
      <w:r w:rsidR="000C0CB5">
        <w:t>expanded</w:t>
      </w:r>
      <w:r w:rsidR="00C77F47">
        <w:t xml:space="preserve"> against the cylindrical walls of the vacuum manifold</w:t>
      </w:r>
      <w:r w:rsidR="001E474B">
        <w:t>.</w:t>
      </w:r>
    </w:p>
    <w:p w:rsidR="00D64FA8" w:rsidRDefault="00A033D1" w:rsidP="00743F2F">
      <w:pPr>
        <w:pStyle w:val="Heading2"/>
      </w:pPr>
      <w:bookmarkStart w:id="7" w:name="_Toc292193003"/>
      <w:r>
        <w:t xml:space="preserve">End Station </w:t>
      </w:r>
      <w:r w:rsidR="00D64FA8">
        <w:t>VEA</w:t>
      </w:r>
      <w:bookmarkEnd w:id="7"/>
      <w:r w:rsidR="00434774">
        <w:t xml:space="preserve"> – Stay-</w:t>
      </w:r>
      <w:r w:rsidR="0001668E">
        <w:t>Clear</w:t>
      </w:r>
      <w:r>
        <w:t xml:space="preserve"> Zone</w:t>
      </w:r>
      <w:r w:rsidR="00434774">
        <w:t>s</w:t>
      </w:r>
      <w:r w:rsidR="00E81280">
        <w:t xml:space="preserve"> (SYS</w:t>
      </w:r>
      <w:r w:rsidR="00300FBB">
        <w:t>, VE</w:t>
      </w:r>
      <w:r w:rsidR="00E81280">
        <w:t>)</w:t>
      </w:r>
    </w:p>
    <w:p w:rsidR="00257942" w:rsidRDefault="00257942" w:rsidP="00B53FD5">
      <w:pPr>
        <w:rPr>
          <w:b/>
          <w:bCs/>
          <w:i/>
          <w:iCs/>
          <w:u w:val="single"/>
        </w:rPr>
      </w:pPr>
      <w:r>
        <w:t>The Pcal transmitter pylons will be bolted and grouted to the floor of the VEAs.</w:t>
      </w:r>
      <w:r w:rsidR="00E81280">
        <w:t xml:space="preserve"> </w:t>
      </w:r>
      <w:r>
        <w:t xml:space="preserve">Stay-clear zones are approximately 36” in front and 18” on both sides of the </w:t>
      </w:r>
      <w:r w:rsidR="00B53FD5">
        <w:t>transmitter module</w:t>
      </w:r>
      <w:r w:rsidR="00434774">
        <w:t xml:space="preserve">. The pylon locations are shown in </w:t>
      </w:r>
      <w:r w:rsidR="00434774">
        <w:fldChar w:fldCharType="begin"/>
      </w:r>
      <w:r w:rsidR="00434774">
        <w:instrText xml:space="preserve"> REF _Ref310235727 \h </w:instrText>
      </w:r>
      <w:r w:rsidR="00434774">
        <w:fldChar w:fldCharType="separate"/>
      </w:r>
      <w:r w:rsidR="000C14DD">
        <w:t xml:space="preserve">Figure </w:t>
      </w:r>
      <w:r w:rsidR="000C14DD">
        <w:rPr>
          <w:noProof/>
        </w:rPr>
        <w:t>1</w:t>
      </w:r>
      <w:r w:rsidR="00434774">
        <w:fldChar w:fldCharType="end"/>
      </w:r>
      <w:r w:rsidR="00434774">
        <w:t>.</w:t>
      </w:r>
    </w:p>
    <w:p w:rsidR="00434774" w:rsidRDefault="009B1352" w:rsidP="009B1352">
      <w:pPr>
        <w:keepNext/>
        <w:jc w:val="center"/>
      </w:pPr>
      <w:r>
        <w:rPr>
          <w:noProof/>
          <w:lang w:bidi="he-IL"/>
        </w:rPr>
        <w:drawing>
          <wp:inline distT="0" distB="0" distL="0" distR="0" wp14:anchorId="6F00A313" wp14:editId="067CF715">
            <wp:extent cx="5943600" cy="27730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773045"/>
                    </a:xfrm>
                    <a:prstGeom prst="rect">
                      <a:avLst/>
                    </a:prstGeom>
                  </pic:spPr>
                </pic:pic>
              </a:graphicData>
            </a:graphic>
          </wp:inline>
        </w:drawing>
      </w:r>
    </w:p>
    <w:p w:rsidR="00434774" w:rsidRDefault="00434774" w:rsidP="009B1352">
      <w:pPr>
        <w:pStyle w:val="Caption"/>
        <w:jc w:val="center"/>
      </w:pPr>
      <w:bookmarkStart w:id="8" w:name="_Ref310235727"/>
      <w:bookmarkStart w:id="9" w:name="_Ref310864081"/>
      <w:r>
        <w:t xml:space="preserve">Figure </w:t>
      </w:r>
      <w:fldSimple w:instr=" SEQ Figure \* ARABIC ">
        <w:r w:rsidR="000C14DD">
          <w:rPr>
            <w:noProof/>
          </w:rPr>
          <w:t>1</w:t>
        </w:r>
      </w:fldSimple>
      <w:bookmarkEnd w:id="8"/>
      <w:r>
        <w:t xml:space="preserve"> – Locations of Pcal </w:t>
      </w:r>
      <w:r w:rsidR="009B1352">
        <w:t xml:space="preserve">transmitter module stay-clear zones, based on </w:t>
      </w:r>
      <w:hyperlink r:id="rId17" w:history="1">
        <w:r w:rsidR="003715BA" w:rsidRPr="003715BA">
          <w:rPr>
            <w:rStyle w:val="Hyperlink"/>
          </w:rPr>
          <w:t>LIGO-D0901477</w:t>
        </w:r>
      </w:hyperlink>
      <w:r w:rsidR="003715BA">
        <w:t>.</w:t>
      </w:r>
      <w:r w:rsidR="00B34DFD">
        <w:t xml:space="preserve"> Stay-clear zones are indicated as boxes that are shaded in pink.</w:t>
      </w:r>
      <w:bookmarkEnd w:id="9"/>
    </w:p>
    <w:p w:rsidR="00A330D8" w:rsidRPr="00A330D8" w:rsidRDefault="00547D8B" w:rsidP="00A57B4B">
      <w:pPr>
        <w:pStyle w:val="Heading2"/>
      </w:pPr>
      <w:r>
        <w:t>Viewports (VE, AOS Viewports)</w:t>
      </w:r>
    </w:p>
    <w:p w:rsidR="00011CF4" w:rsidRDefault="00D22DE4" w:rsidP="00787DE9">
      <w:r>
        <w:t xml:space="preserve">The </w:t>
      </w:r>
      <w:r w:rsidR="009A78D8">
        <w:t>Pcal</w:t>
      </w:r>
      <w:r>
        <w:t xml:space="preserve"> beams will pass through viewports </w:t>
      </w:r>
      <w:r w:rsidR="00F50AB0">
        <w:t>mounted</w:t>
      </w:r>
      <w:r w:rsidR="004A0196">
        <w:t xml:space="preserve"> in</w:t>
      </w:r>
      <w:r>
        <w:t xml:space="preserve"> </w:t>
      </w:r>
      <w:r w:rsidR="007C61C6">
        <w:t xml:space="preserve">vacuum </w:t>
      </w:r>
      <w:r w:rsidR="004A0196">
        <w:t>adapters</w:t>
      </w:r>
      <w:r w:rsidR="007C61C6">
        <w:t xml:space="preserve"> (see </w:t>
      </w:r>
      <w:r w:rsidR="007C61C6">
        <w:fldChar w:fldCharType="begin"/>
      </w:r>
      <w:r w:rsidR="007C61C6">
        <w:instrText xml:space="preserve"> REF _Ref310237755 \h </w:instrText>
      </w:r>
      <w:r w:rsidR="007C61C6">
        <w:fldChar w:fldCharType="separate"/>
      </w:r>
      <w:r w:rsidR="000C14DD">
        <w:t xml:space="preserve">Figure </w:t>
      </w:r>
      <w:r w:rsidR="000C14DD">
        <w:rPr>
          <w:noProof/>
        </w:rPr>
        <w:t>2</w:t>
      </w:r>
      <w:r w:rsidR="007C61C6">
        <w:fldChar w:fldCharType="end"/>
      </w:r>
      <w:r w:rsidR="007C61C6">
        <w:t>)</w:t>
      </w:r>
      <w:r w:rsidR="00033493">
        <w:t xml:space="preserve"> </w:t>
      </w:r>
      <w:r w:rsidR="00F50AB0">
        <w:t xml:space="preserve">and </w:t>
      </w:r>
      <w:r w:rsidR="0088268A">
        <w:t xml:space="preserve">be directed to the ETMs via input periscopes, </w:t>
      </w:r>
      <w:r w:rsidR="00F50AB0">
        <w:t xml:space="preserve">reflect </w:t>
      </w:r>
      <w:r w:rsidR="0088268A">
        <w:t>from</w:t>
      </w:r>
      <w:r>
        <w:t xml:space="preserve"> the HR surfaces of the ETMs</w:t>
      </w:r>
      <w:r w:rsidR="0088268A">
        <w:t>, and</w:t>
      </w:r>
      <w:r w:rsidR="0075480D">
        <w:t xml:space="preserve"> be </w:t>
      </w:r>
      <w:r w:rsidR="0088268A">
        <w:lastRenderedPageBreak/>
        <w:t>directed</w:t>
      </w:r>
      <w:r w:rsidR="0075480D">
        <w:t xml:space="preserve"> by </w:t>
      </w:r>
      <w:r w:rsidR="0088268A">
        <w:t xml:space="preserve">output </w:t>
      </w:r>
      <w:r w:rsidR="0075480D">
        <w:t xml:space="preserve">periscopes </w:t>
      </w:r>
      <w:r>
        <w:t>within the vacuum</w:t>
      </w:r>
      <w:r w:rsidR="00084AAA">
        <w:t xml:space="preserve"> system</w:t>
      </w:r>
      <w:r>
        <w:t xml:space="preserve"> and </w:t>
      </w:r>
      <w:r w:rsidR="00257942">
        <w:t>directed to</w:t>
      </w:r>
      <w:r>
        <w:t xml:space="preserve"> </w:t>
      </w:r>
      <w:r w:rsidR="007420DC">
        <w:t>receiver module</w:t>
      </w:r>
      <w:r w:rsidR="00257942">
        <w:t>s</w:t>
      </w:r>
      <w:r>
        <w:t>.</w:t>
      </w:r>
      <w:r w:rsidR="00BF211A">
        <w:rPr>
          <w:noProof/>
          <w:lang w:bidi="he-IL"/>
        </w:rPr>
        <w:drawing>
          <wp:inline distT="0" distB="0" distL="0" distR="0" wp14:anchorId="75C59BE4" wp14:editId="38FA6460">
            <wp:extent cx="594360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219450"/>
                    </a:xfrm>
                    <a:prstGeom prst="rect">
                      <a:avLst/>
                    </a:prstGeom>
                  </pic:spPr>
                </pic:pic>
              </a:graphicData>
            </a:graphic>
          </wp:inline>
        </w:drawing>
      </w:r>
    </w:p>
    <w:p w:rsidR="00816D8C" w:rsidRDefault="00011CF4" w:rsidP="00BF211A">
      <w:pPr>
        <w:pStyle w:val="Caption"/>
        <w:jc w:val="center"/>
      </w:pPr>
      <w:bookmarkStart w:id="10" w:name="_Ref310237755"/>
      <w:r>
        <w:t xml:space="preserve">Figure </w:t>
      </w:r>
      <w:fldSimple w:instr=" SEQ Figure \* ARABIC ">
        <w:r w:rsidR="000C14DD">
          <w:rPr>
            <w:noProof/>
          </w:rPr>
          <w:t>2</w:t>
        </w:r>
      </w:fldSimple>
      <w:bookmarkEnd w:id="10"/>
      <w:r w:rsidR="00AF29C1">
        <w:t xml:space="preserve"> – Mechanical drawing of </w:t>
      </w:r>
      <w:r w:rsidR="00D05EF2">
        <w:t>A-17 adapter</w:t>
      </w:r>
      <w:r w:rsidR="00300FBB">
        <w:t xml:space="preserve"> separating WBSC6 and WBSC</w:t>
      </w:r>
      <w:r w:rsidR="00AF29C1">
        <w:t>10</w:t>
      </w:r>
      <w:r w:rsidR="003C0179">
        <w:t xml:space="preserve"> at LHO’s Y-End VEA (</w:t>
      </w:r>
      <w:hyperlink r:id="rId19" w:history="1">
        <w:r w:rsidR="003C0179" w:rsidRPr="003C0179">
          <w:rPr>
            <w:rStyle w:val="Hyperlink"/>
          </w:rPr>
          <w:t>LIGO-C1001346</w:t>
        </w:r>
      </w:hyperlink>
      <w:r w:rsidR="003C0179">
        <w:t xml:space="preserve">). In all instances, Pcal’s beams will be transmitted and received through the </w:t>
      </w:r>
      <w:r w:rsidR="00BF211A">
        <w:t>viewports oriented as shown</w:t>
      </w:r>
      <w:r w:rsidR="003C0179">
        <w:t>.</w:t>
      </w:r>
    </w:p>
    <w:p w:rsidR="00060627" w:rsidRDefault="00060627" w:rsidP="00743F2F">
      <w:pPr>
        <w:pStyle w:val="Heading2"/>
      </w:pPr>
      <w:r>
        <w:t>First Contact Surface Solution</w:t>
      </w:r>
      <w:r w:rsidR="00276C4F">
        <w:t xml:space="preserve"> </w:t>
      </w:r>
      <w:r w:rsidR="00743F2F">
        <w:t xml:space="preserve">on ETM </w:t>
      </w:r>
      <w:r w:rsidR="00276C4F">
        <w:t>(SYS, COC and SUS)</w:t>
      </w:r>
    </w:p>
    <w:p w:rsidR="00060627" w:rsidRPr="00BF57C1" w:rsidRDefault="00060627" w:rsidP="0030245F">
      <w:r>
        <w:t xml:space="preserve">During initial alignment of the </w:t>
      </w:r>
      <w:r w:rsidR="009A78D8">
        <w:t>Pcal</w:t>
      </w:r>
      <w:r>
        <w:t xml:space="preserve"> beam, First Contact</w:t>
      </w:r>
      <w:r w:rsidR="00276C4F">
        <w:t xml:space="preserve"> solution</w:t>
      </w:r>
      <w:r>
        <w:t xml:space="preserve"> will still be on the surface of the ETM. </w:t>
      </w:r>
      <w:r w:rsidR="0030245F">
        <w:t>Alignment of the Pcal system will involve</w:t>
      </w:r>
      <w:r w:rsidR="00276C4F">
        <w:t xml:space="preserve"> temporarily</w:t>
      </w:r>
      <w:r w:rsidR="0030245F">
        <w:t xml:space="preserve"> peeling back </w:t>
      </w:r>
      <w:r w:rsidR="00276C4F">
        <w:t>the First Contact approximately 7cm from the top and bottom of the ETM. SYS has approved this part of the procedure.</w:t>
      </w:r>
    </w:p>
    <w:p w:rsidR="00060627" w:rsidRDefault="00060627" w:rsidP="00743F2F">
      <w:pPr>
        <w:pStyle w:val="Heading2"/>
      </w:pPr>
      <w:r>
        <w:t>Wavelength</w:t>
      </w:r>
      <w:r w:rsidR="00276C4F">
        <w:t xml:space="preserve"> </w:t>
      </w:r>
      <w:r w:rsidR="00743F2F">
        <w:t xml:space="preserve">of Main Interferometer Beam </w:t>
      </w:r>
      <w:r w:rsidR="00276C4F">
        <w:t>(</w:t>
      </w:r>
      <w:r w:rsidR="00154D3C">
        <w:t>SYS</w:t>
      </w:r>
      <w:r w:rsidR="00276C4F">
        <w:t>)</w:t>
      </w:r>
    </w:p>
    <w:p w:rsidR="00060627" w:rsidRDefault="00060627" w:rsidP="005706D5">
      <w:r>
        <w:t xml:space="preserve">The wavelength of the </w:t>
      </w:r>
      <w:r w:rsidR="009A78D8">
        <w:t>Pcal</w:t>
      </w:r>
      <w:r w:rsidR="005650B1">
        <w:t xml:space="preserve"> laser </w:t>
      </w:r>
      <w:r w:rsidR="00276C4F">
        <w:t>shall</w:t>
      </w:r>
      <w:r w:rsidR="003724BD">
        <w:t xml:space="preserve"> be at least 0.3</w:t>
      </w:r>
      <w:r>
        <w:t xml:space="preserve"> nm</w:t>
      </w:r>
      <w:r w:rsidR="00391217">
        <w:t xml:space="preserve"> (9</w:t>
      </w:r>
      <w:r w:rsidR="005706D5">
        <w:t>0 GHz)</w:t>
      </w:r>
      <w:r>
        <w:t xml:space="preserve"> away from the main interferometer beam wavelengt</w:t>
      </w:r>
      <w:r w:rsidR="005706D5">
        <w:t>h, 1064.5</w:t>
      </w:r>
      <w:r w:rsidR="00787DE9">
        <w:t xml:space="preserve">nm, </w:t>
      </w:r>
      <w:r>
        <w:t xml:space="preserve">to minimize interference between the </w:t>
      </w:r>
      <w:r w:rsidR="009A78D8">
        <w:t>Pcal</w:t>
      </w:r>
      <w:r>
        <w:t xml:space="preserve"> beam and the main interferometer beam.</w:t>
      </w:r>
      <w:r w:rsidR="005650B1">
        <w:t xml:space="preserve"> </w:t>
      </w:r>
    </w:p>
    <w:p w:rsidR="00D22DE4" w:rsidRDefault="0003615F" w:rsidP="00743F2F">
      <w:pPr>
        <w:pStyle w:val="Heading2"/>
      </w:pPr>
      <w:bookmarkStart w:id="11" w:name="_Toc292193009"/>
      <w:r>
        <w:t>Stay-</w:t>
      </w:r>
      <w:r w:rsidR="00C1560A">
        <w:t>Clear</w:t>
      </w:r>
      <w:r w:rsidR="00D22DE4">
        <w:t xml:space="preserve"> Zones</w:t>
      </w:r>
      <w:bookmarkEnd w:id="11"/>
      <w:r w:rsidR="00834CFC">
        <w:t xml:space="preserve"> (IAS)</w:t>
      </w:r>
    </w:p>
    <w:p w:rsidR="00D22DE4" w:rsidRDefault="0059179E" w:rsidP="00F11FBC">
      <w:r>
        <w:t>All</w:t>
      </w:r>
      <w:r w:rsidR="00D22DE4">
        <w:t xml:space="preserve"> components within the vacuum system </w:t>
      </w:r>
      <w:r w:rsidR="00A21A03">
        <w:t>shall</w:t>
      </w:r>
      <w:r w:rsidR="00834CFC">
        <w:t xml:space="preserve"> stay clear of the main interferomet</w:t>
      </w:r>
      <w:r w:rsidR="00F11FBC">
        <w:t>er beam, with a stay clear zone</w:t>
      </w:r>
      <w:r w:rsidR="00834CFC">
        <w:t xml:space="preserve"> defined as </w:t>
      </w:r>
      <w:r w:rsidR="00300FBB">
        <w:t>a c</w:t>
      </w:r>
      <w:r w:rsidR="00F11FBC">
        <w:t>ylinder</w:t>
      </w:r>
      <w:r w:rsidR="00300FBB">
        <w:t xml:space="preserve"> </w:t>
      </w:r>
      <w:r w:rsidR="00F11FBC">
        <w:t>with a radius that</w:t>
      </w:r>
      <w:r w:rsidR="00300FBB">
        <w:t xml:space="preserve"> is </w:t>
      </w:r>
      <w:r w:rsidR="00834CFC">
        <w:t xml:space="preserve">2mm </w:t>
      </w:r>
      <w:r w:rsidR="00F11FBC">
        <w:t>larger than</w:t>
      </w:r>
      <w:r w:rsidR="00300FBB">
        <w:t xml:space="preserve"> the radius of the ETM</w:t>
      </w:r>
      <w:r w:rsidR="00F11FBC">
        <w:t xml:space="preserve"> and concentric with the ETM</w:t>
      </w:r>
      <w:r w:rsidR="00300FBB">
        <w:t>.</w:t>
      </w:r>
    </w:p>
    <w:p w:rsidR="005859DF" w:rsidRDefault="005859DF" w:rsidP="00743F2F">
      <w:pPr>
        <w:pStyle w:val="Heading2"/>
      </w:pPr>
      <w:bookmarkStart w:id="12" w:name="_Toc292193010"/>
      <w:r>
        <w:t>Baffles</w:t>
      </w:r>
      <w:bookmarkEnd w:id="12"/>
      <w:r w:rsidR="0003615F">
        <w:t xml:space="preserve"> (SLC)</w:t>
      </w:r>
    </w:p>
    <w:p w:rsidR="005859DF" w:rsidRDefault="00C5579F" w:rsidP="00F11FBC">
      <w:r>
        <w:t xml:space="preserve">The </w:t>
      </w:r>
      <w:r w:rsidR="009A78D8">
        <w:t>Pcal</w:t>
      </w:r>
      <w:r w:rsidR="0059179E">
        <w:t xml:space="preserve"> </w:t>
      </w:r>
      <w:r>
        <w:t xml:space="preserve">beams </w:t>
      </w:r>
      <w:r w:rsidR="00A21A03">
        <w:t>shall</w:t>
      </w:r>
      <w:r>
        <w:t xml:space="preserve"> be </w:t>
      </w:r>
      <w:r w:rsidR="00F11FBC">
        <w:t>directed</w:t>
      </w:r>
      <w:r>
        <w:t xml:space="preserve"> around physical obstructi</w:t>
      </w:r>
      <w:r w:rsidR="00834CFC">
        <w:t xml:space="preserve">ons within the vacuum manifold. </w:t>
      </w:r>
      <w:r w:rsidR="00F11FBC">
        <w:t>Cryopump</w:t>
      </w:r>
      <w:r w:rsidR="00834CFC">
        <w:t xml:space="preserve"> and Arm-Cavity Baffles will allow a 3” diameter clearance around the Pcal beams.</w:t>
      </w:r>
    </w:p>
    <w:p w:rsidR="00257942" w:rsidRDefault="00257942" w:rsidP="00257942">
      <w:pPr>
        <w:pStyle w:val="Heading2"/>
      </w:pPr>
      <w:bookmarkStart w:id="13" w:name="_Toc292193005"/>
      <w:r>
        <w:lastRenderedPageBreak/>
        <w:t>CDS Interfaces</w:t>
      </w:r>
      <w:bookmarkEnd w:id="13"/>
      <w:r w:rsidR="0063401B">
        <w:t xml:space="preserve"> (CDS)</w:t>
      </w:r>
    </w:p>
    <w:p w:rsidR="00257942" w:rsidRDefault="00257942" w:rsidP="0024367B">
      <w:r>
        <w:t xml:space="preserve">Pcal requires </w:t>
      </w:r>
      <w:r w:rsidR="0063401B">
        <w:t xml:space="preserve">at least six </w:t>
      </w:r>
      <w:r>
        <w:t xml:space="preserve">fast channels for data read-back and </w:t>
      </w:r>
      <w:r w:rsidR="0063401B">
        <w:t xml:space="preserve">eight </w:t>
      </w:r>
      <w:r>
        <w:t>slow channels for diagnostics and system control.</w:t>
      </w:r>
      <w:r w:rsidR="0063401B">
        <w:t xml:space="preserve"> At least </w:t>
      </w:r>
      <w:r w:rsidR="0024367B">
        <w:t>48</w:t>
      </w:r>
      <w:r>
        <w:t xml:space="preserve"> DMT channels are also required for off-line processing.</w:t>
      </w:r>
      <w:r w:rsidR="0024367B">
        <w:t xml:space="preserve"> These requirements apply to each arm of each interferometer.</w:t>
      </w:r>
    </w:p>
    <w:p w:rsidR="0024367B" w:rsidRDefault="0024367B" w:rsidP="00280C16">
      <w:pPr>
        <w:pStyle w:val="Heading1"/>
      </w:pPr>
      <w:r>
        <w:t>Assumptions</w:t>
      </w:r>
    </w:p>
    <w:p w:rsidR="0024367B" w:rsidRDefault="0024367B" w:rsidP="00743F2F">
      <w:pPr>
        <w:pStyle w:val="Heading2"/>
      </w:pPr>
      <w:r>
        <w:t>Position</w:t>
      </w:r>
      <w:r w:rsidR="00743F2F">
        <w:t xml:space="preserve"> of ETM</w:t>
      </w:r>
      <w:r>
        <w:t xml:space="preserve"> (IAS)</w:t>
      </w:r>
    </w:p>
    <w:p w:rsidR="0024367B" w:rsidRPr="005650B1" w:rsidRDefault="0024367B" w:rsidP="0024367B">
      <w:r>
        <w:t xml:space="preserve">We assume that the ETMs’ position shall be located within ±3mm longitudinally, ±1mm vertically, and ±1mm laterally of their design location, as specified in </w:t>
      </w:r>
      <w:hyperlink r:id="rId20" w:history="1">
        <w:r w:rsidRPr="005650B1">
          <w:rPr>
            <w:rStyle w:val="Hyperlink"/>
          </w:rPr>
          <w:t>LIGO-E1100690</w:t>
        </w:r>
      </w:hyperlink>
      <w:r>
        <w:rPr>
          <w:rStyle w:val="Hyperlink"/>
        </w:rPr>
        <w:t>.</w:t>
      </w:r>
    </w:p>
    <w:p w:rsidR="0024367B" w:rsidRDefault="0024367B" w:rsidP="00743F2F">
      <w:pPr>
        <w:pStyle w:val="Heading2"/>
      </w:pPr>
      <w:r>
        <w:t>HR Surface Reflectivity</w:t>
      </w:r>
      <w:r w:rsidR="00743F2F">
        <w:t xml:space="preserve"> of ETM</w:t>
      </w:r>
      <w:r>
        <w:t xml:space="preserve"> (COC)</w:t>
      </w:r>
    </w:p>
    <w:p w:rsidR="0024367B" w:rsidRDefault="0024367B" w:rsidP="0024367B">
      <w:r>
        <w:t xml:space="preserve">We assume that the reflectivity of the HR surface of the ETM at the wavelength and incidence angles of the Pcal beams on the ETM, which are 8.75° for H1 and L1, and 5° for H2, will be 99.5% or better. These results are published in </w:t>
      </w:r>
      <w:hyperlink r:id="rId21" w:history="1">
        <w:r w:rsidRPr="005650B1">
          <w:rPr>
            <w:rStyle w:val="Hyperlink"/>
          </w:rPr>
          <w:t>LIGO-C1000251</w:t>
        </w:r>
      </w:hyperlink>
      <w:r>
        <w:t>. (Note: This does not impact the overall accuracy of the Photon Calibrator).</w:t>
      </w:r>
    </w:p>
    <w:p w:rsidR="0024367B" w:rsidRDefault="00743F2F" w:rsidP="00743F2F">
      <w:pPr>
        <w:pStyle w:val="Heading2"/>
      </w:pPr>
      <w:r>
        <w:t>Mass of ETM</w:t>
      </w:r>
      <w:r w:rsidR="0024367B">
        <w:t xml:space="preserve"> (COC and SUS)</w:t>
      </w:r>
    </w:p>
    <w:p w:rsidR="0024367B" w:rsidRDefault="0024367B" w:rsidP="0024367B">
      <w:r>
        <w:t>We assume that the masses of the ETMs, including bonded objects to the ETMs, shall be known by the COC and SUS systems within</w:t>
      </w:r>
      <m:oMath>
        <m:r>
          <w:rPr>
            <w:rFonts w:ascii="Cambria Math" w:hAnsi="Cambria Math"/>
          </w:rPr>
          <m:t xml:space="preserve"> </m:t>
        </m:r>
        <m:f>
          <m:fPr>
            <m:ctrlPr>
              <w:rPr>
                <w:rFonts w:ascii="Cambria Math" w:hAnsi="Cambria Math"/>
                <w:i/>
              </w:rPr>
            </m:ctrlPr>
          </m:fPr>
          <m:num>
            <m:r>
              <w:rPr>
                <w:rFonts w:ascii="Cambria Math" w:hAnsi="Cambria Math"/>
              </w:rPr>
              <m:t>σ</m:t>
            </m:r>
          </m:num>
          <m:den>
            <m:r>
              <w:rPr>
                <w:rFonts w:ascii="Cambria Math" w:hAnsi="Cambria Math"/>
              </w:rPr>
              <m:t>μ</m:t>
            </m:r>
          </m:den>
        </m:f>
        <m:r>
          <w:rPr>
            <w:rFonts w:ascii="Cambria Math" w:hAnsi="Cambria Math"/>
          </w:rPr>
          <m:t>&lt;0.1%</m:t>
        </m:r>
      </m:oMath>
      <w:r>
        <w:t xml:space="preserve">. COC publishes the ETMs’ masses on the </w:t>
      </w:r>
      <w:hyperlink r:id="rId22" w:history="1">
        <w:r w:rsidRPr="006C1A1F">
          <w:rPr>
            <w:rStyle w:val="Hyperlink"/>
          </w:rPr>
          <w:t>aLIGO Optics Website</w:t>
        </w:r>
      </w:hyperlink>
      <w:r>
        <w:t xml:space="preserve">, and their uncertainties in </w:t>
      </w:r>
      <w:hyperlink r:id="rId23" w:history="1">
        <w:r w:rsidRPr="001E7A04">
          <w:rPr>
            <w:rStyle w:val="Hyperlink"/>
            <w:rFonts w:asciiTheme="majorBidi" w:hAnsiTheme="majorBidi" w:cstheme="majorBidi"/>
            <w:szCs w:val="24"/>
            <w:lang w:bidi="he-IL"/>
          </w:rPr>
          <w:t>LIGO-T1100174</w:t>
        </w:r>
      </w:hyperlink>
      <w:r>
        <w:rPr>
          <w:rFonts w:asciiTheme="majorBidi" w:hAnsiTheme="majorBidi" w:cstheme="majorBidi"/>
          <w:szCs w:val="24"/>
          <w:lang w:bidi="he-IL"/>
        </w:rPr>
        <w:t xml:space="preserve"> (under A&amp;D GP 60K on p. 83)</w:t>
      </w:r>
      <w:r>
        <w:rPr>
          <w:rFonts w:ascii="Arial" w:hAnsi="Arial" w:cs="Arial"/>
          <w:b/>
          <w:bCs/>
          <w:sz w:val="20"/>
          <w:lang w:bidi="he-IL"/>
        </w:rPr>
        <w:t xml:space="preserve">. </w:t>
      </w:r>
      <w:r>
        <w:t xml:space="preserve">SUS publishes the masses of the ears that are bonded to the ETMs and their uncertainties in </w:t>
      </w:r>
      <w:hyperlink r:id="rId24" w:history="1">
        <w:r w:rsidRPr="006C1A1F">
          <w:rPr>
            <w:rStyle w:val="Hyperlink"/>
          </w:rPr>
          <w:t>LIGO-D080751</w:t>
        </w:r>
      </w:hyperlink>
      <w:r>
        <w:t xml:space="preserve">. </w:t>
      </w:r>
    </w:p>
    <w:p w:rsidR="00C74303" w:rsidRDefault="00743F2F" w:rsidP="00743F2F">
      <w:pPr>
        <w:pStyle w:val="Heading2"/>
      </w:pPr>
      <w:bookmarkStart w:id="14" w:name="_Toc292193011"/>
      <w:r>
        <w:t xml:space="preserve">Transmissivity of </w:t>
      </w:r>
      <w:r w:rsidR="00C74303">
        <w:t>Viewport</w:t>
      </w:r>
      <w:bookmarkEnd w:id="14"/>
      <w:r w:rsidR="00C74303">
        <w:t xml:space="preserve"> Windows (AOS Viewports)</w:t>
      </w:r>
    </w:p>
    <w:p w:rsidR="00C74303" w:rsidRDefault="00C74303" w:rsidP="00C74303">
      <w:r>
        <w:t xml:space="preserve">Viewport windows, meeting the requirements specified in </w:t>
      </w:r>
      <w:hyperlink r:id="rId25" w:history="1">
        <w:r w:rsidRPr="00180586">
          <w:rPr>
            <w:rStyle w:val="Hyperlink"/>
          </w:rPr>
          <w:t>LIGO-E1100267</w:t>
        </w:r>
      </w:hyperlink>
      <w:r>
        <w:t>, will be installed and leak-tested by others. They shall have a transmission coefficient greater than 0.995 at the Pcal laser wavelength.</w:t>
      </w:r>
    </w:p>
    <w:p w:rsidR="00C74303" w:rsidRDefault="00C74303" w:rsidP="00743F2F">
      <w:pPr>
        <w:pStyle w:val="Heading2"/>
      </w:pPr>
      <w:r>
        <w:t>Main Interferometer Beam: Position (ISC)</w:t>
      </w:r>
    </w:p>
    <w:p w:rsidR="00C74303" w:rsidRPr="0024367B" w:rsidRDefault="00C74303" w:rsidP="00C74303">
      <w:r>
        <w:t>The position of the main interferometer beam on the ETM shall have a vertical and lateral tolerance of ±1 mm with respect to the center of the ETM to minimize elastic deformation errors in the calibration.</w:t>
      </w:r>
    </w:p>
    <w:p w:rsidR="006D0787" w:rsidRPr="000E70AA" w:rsidRDefault="000871E9" w:rsidP="00280C16">
      <w:pPr>
        <w:pStyle w:val="Heading1"/>
      </w:pPr>
      <w:r>
        <w:t>Potential</w:t>
      </w:r>
      <w:r w:rsidR="006D0787">
        <w:t xml:space="preserve"> </w:t>
      </w:r>
      <w:r w:rsidR="00280C16">
        <w:t>Operational</w:t>
      </w:r>
      <w:r w:rsidR="006D0787">
        <w:t xml:space="preserve"> Hazards</w:t>
      </w:r>
    </w:p>
    <w:p w:rsidR="0065307C" w:rsidRDefault="003C3DBC" w:rsidP="0065307C">
      <w:pPr>
        <w:pStyle w:val="Heading2"/>
      </w:pPr>
      <w:bookmarkStart w:id="15" w:name="_Toc292193027"/>
      <w:r>
        <w:t>Damage to Viewport Glass</w:t>
      </w:r>
      <w:bookmarkEnd w:id="15"/>
    </w:p>
    <w:p w:rsidR="0065307C" w:rsidRDefault="003C3DBC" w:rsidP="000222B7">
      <w:r>
        <w:t xml:space="preserve">Calibrating the output power of the </w:t>
      </w:r>
      <w:r w:rsidR="009A78D8">
        <w:t>Pcal</w:t>
      </w:r>
      <w:r>
        <w:t xml:space="preserve"> boxes will require work adjacent to the viewport</w:t>
      </w:r>
      <w:r w:rsidR="00A96B95">
        <w:t xml:space="preserve"> window</w:t>
      </w:r>
      <w:r w:rsidR="000222B7">
        <w:t>.  Accordingly, standard aLIGO</w:t>
      </w:r>
      <w:r>
        <w:t xml:space="preserve"> viewport </w:t>
      </w:r>
      <w:r w:rsidR="000871E9">
        <w:t>protector</w:t>
      </w:r>
      <w:r w:rsidR="000222B7">
        <w:t>s (provided by others)</w:t>
      </w:r>
      <w:r>
        <w:t xml:space="preserve"> </w:t>
      </w:r>
      <w:r w:rsidR="00A96B95">
        <w:t>shall</w:t>
      </w:r>
      <w:r>
        <w:t xml:space="preserve"> be installed </w:t>
      </w:r>
      <w:r w:rsidR="000222B7">
        <w:t xml:space="preserve">to </w:t>
      </w:r>
      <w:r>
        <w:t xml:space="preserve">prevent </w:t>
      </w:r>
      <w:r w:rsidR="000222B7">
        <w:t xml:space="preserve">accidental </w:t>
      </w:r>
      <w:r>
        <w:t xml:space="preserve">physical contact with </w:t>
      </w:r>
      <w:r w:rsidR="004E5E1C">
        <w:t xml:space="preserve">the </w:t>
      </w:r>
      <w:r w:rsidR="000222B7">
        <w:t xml:space="preserve">viewport glass while working on </w:t>
      </w:r>
      <w:r>
        <w:t xml:space="preserve">the </w:t>
      </w:r>
      <w:r w:rsidR="009A78D8">
        <w:t>Pcal</w:t>
      </w:r>
      <w:r>
        <w:t xml:space="preserve"> </w:t>
      </w:r>
      <w:r w:rsidR="000222B7">
        <w:t>transmitter and receiver modules</w:t>
      </w:r>
      <w:r>
        <w:t>.</w:t>
      </w:r>
    </w:p>
    <w:p w:rsidR="000002BF" w:rsidRPr="00C07288" w:rsidRDefault="000002BF" w:rsidP="00C07288">
      <w:pPr>
        <w:pStyle w:val="Heading2"/>
      </w:pPr>
      <w:bookmarkStart w:id="16" w:name="_Toc292193031"/>
      <w:r>
        <w:lastRenderedPageBreak/>
        <w:t>Laser Safety</w:t>
      </w:r>
      <w:bookmarkEnd w:id="16"/>
    </w:p>
    <w:p w:rsidR="00DC5ECE" w:rsidRPr="00AF4AE1" w:rsidRDefault="00072F8B" w:rsidP="0024367B">
      <w:r>
        <w:t>The Pcals</w:t>
      </w:r>
      <w:r w:rsidR="000002BF">
        <w:t xml:space="preserve"> </w:t>
      </w:r>
      <w:r w:rsidR="00A315EA">
        <w:t xml:space="preserve">will </w:t>
      </w:r>
      <w:r w:rsidR="0024367B">
        <w:t>have</w:t>
      </w:r>
      <w:r>
        <w:t xml:space="preserve"> </w:t>
      </w:r>
      <w:r w:rsidR="00A315EA">
        <w:t>Class 4 laser</w:t>
      </w:r>
      <w:r w:rsidR="0024367B">
        <w:t>s</w:t>
      </w:r>
      <w:r w:rsidR="00A315EA">
        <w:t xml:space="preserve"> </w:t>
      </w:r>
      <w:r w:rsidR="004E5E1C">
        <w:t>an</w:t>
      </w:r>
      <w:r w:rsidR="005E5C53">
        <w:t xml:space="preserve">d will </w:t>
      </w:r>
      <w:r w:rsidR="000871E9">
        <w:t>comply with all applicable requirements and standards.</w:t>
      </w:r>
    </w:p>
    <w:sectPr w:rsidR="00DC5ECE" w:rsidRPr="00AF4AE1">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B36" w:rsidRDefault="003C4B36">
      <w:r>
        <w:separator/>
      </w:r>
    </w:p>
  </w:endnote>
  <w:endnote w:type="continuationSeparator" w:id="0">
    <w:p w:rsidR="003C4B36" w:rsidRDefault="003C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EF" w:rsidRDefault="000B42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2EF" w:rsidRDefault="000B42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EF" w:rsidRDefault="000B42E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61424">
      <w:rPr>
        <w:rStyle w:val="PageNumber"/>
        <w:noProof/>
      </w:rPr>
      <w:t>2</w:t>
    </w:r>
    <w:r>
      <w:rPr>
        <w:rStyle w:val="PageNumber"/>
      </w:rPr>
      <w:fldChar w:fldCharType="end"/>
    </w:r>
  </w:p>
  <w:p w:rsidR="000B42EF" w:rsidRDefault="000B42E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24" w:rsidRDefault="00E61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B36" w:rsidRDefault="003C4B36">
      <w:r>
        <w:separator/>
      </w:r>
    </w:p>
  </w:footnote>
  <w:footnote w:type="continuationSeparator" w:id="0">
    <w:p w:rsidR="003C4B36" w:rsidRDefault="003C4B36">
      <w:r>
        <w:continuationSeparator/>
      </w:r>
    </w:p>
  </w:footnote>
  <w:footnote w:id="1">
    <w:p w:rsidR="000B42EF" w:rsidRDefault="000B42EF" w:rsidP="00380364">
      <w:pPr>
        <w:pStyle w:val="FootnoteText"/>
      </w:pPr>
      <w:r>
        <w:rPr>
          <w:rStyle w:val="FootnoteReference"/>
        </w:rPr>
        <w:footnoteRef/>
      </w:r>
      <w:r>
        <w:t xml:space="preserve"> </w:t>
      </w:r>
      <w:hyperlink r:id="rId1" w:history="1">
        <w:r w:rsidRPr="00D42BC0">
          <w:rPr>
            <w:rStyle w:val="Hyperlink"/>
          </w:rPr>
          <w:t xml:space="preserve">L. Lindblom, Phys. Rev. D </w:t>
        </w:r>
        <w:r w:rsidRPr="00D42BC0">
          <w:rPr>
            <w:rStyle w:val="Hyperlink"/>
            <w:b/>
            <w:bCs/>
          </w:rPr>
          <w:t>80</w:t>
        </w:r>
        <w:r w:rsidRPr="00D42BC0">
          <w:rPr>
            <w:rStyle w:val="Hyperlink"/>
          </w:rPr>
          <w:t>, 042005, pp. 1-7 (2009).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24" w:rsidRDefault="00E61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EF" w:rsidRDefault="000B42EF" w:rsidP="009C0AA2">
    <w:pPr>
      <w:pStyle w:val="Header"/>
      <w:tabs>
        <w:tab w:val="clear" w:pos="4320"/>
        <w:tab w:val="center" w:pos="4680"/>
        <w:tab w:val="left" w:pos="5978"/>
      </w:tabs>
      <w:jc w:val="left"/>
      <w:rPr>
        <w:sz w:val="20"/>
      </w:rPr>
    </w:pPr>
    <w:r>
      <w:rPr>
        <w:b/>
        <w:bCs/>
        <w:i/>
        <w:iCs/>
        <w:color w:val="0000FF"/>
        <w:sz w:val="20"/>
      </w:rPr>
      <w:t>Advanced LIGO</w:t>
    </w:r>
    <w:r w:rsidR="00E61424">
      <w:rPr>
        <w:sz w:val="20"/>
      </w:rPr>
      <w:tab/>
    </w:r>
    <w:r w:rsidR="00E61424">
      <w:rPr>
        <w:sz w:val="20"/>
      </w:rPr>
      <w:t>LIGO-T1100044-v19</w:t>
    </w:r>
    <w:bookmarkStart w:id="17" w:name="_GoBack"/>
    <w:bookmarkEnd w:id="17"/>
    <w:r>
      <w:rPr>
        <w:sz w:val="20"/>
      </w:rPr>
      <w:tab/>
    </w: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EF" w:rsidRDefault="000B42EF">
    <w:pPr>
      <w:pStyle w:val="Header"/>
      <w:jc w:val="right"/>
    </w:pPr>
    <w:r>
      <w:rPr>
        <w:b/>
        <w:caps/>
      </w:rPr>
      <w:t>Laser Interferometer Gravitational Wave Observatory</w:t>
    </w:r>
    <w:r>
      <w:rPr>
        <w:noProof/>
        <w:sz w:val="20"/>
      </w:rPr>
      <w:t xml:space="preserve"> </w:t>
    </w:r>
    <w:r w:rsidR="003C4B3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85475494"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44751C7"/>
    <w:multiLevelType w:val="hybridMultilevel"/>
    <w:tmpl w:val="F774B9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CD96FA3"/>
    <w:multiLevelType w:val="hybridMultilevel"/>
    <w:tmpl w:val="21DE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1FA795D"/>
    <w:multiLevelType w:val="hybridMultilevel"/>
    <w:tmpl w:val="62F6E198"/>
    <w:lvl w:ilvl="0" w:tplc="C32634F8">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A37AE"/>
    <w:multiLevelType w:val="hybridMultilevel"/>
    <w:tmpl w:val="A864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E57014"/>
    <w:multiLevelType w:val="hybridMultilevel"/>
    <w:tmpl w:val="15EC6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9297B"/>
    <w:multiLevelType w:val="hybridMultilevel"/>
    <w:tmpl w:val="CF00F102"/>
    <w:lvl w:ilvl="0" w:tplc="4F4099B2">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605AA5"/>
    <w:multiLevelType w:val="hybridMultilevel"/>
    <w:tmpl w:val="54BA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A6527C3"/>
    <w:multiLevelType w:val="hybridMultilevel"/>
    <w:tmpl w:val="1F7C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525D3"/>
    <w:multiLevelType w:val="hybridMultilevel"/>
    <w:tmpl w:val="7B30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1">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38361BC"/>
    <w:multiLevelType w:val="hybridMultilevel"/>
    <w:tmpl w:val="737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nsid w:val="656E6B59"/>
    <w:multiLevelType w:val="hybridMultilevel"/>
    <w:tmpl w:val="F7200E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8A6E7F"/>
    <w:multiLevelType w:val="hybridMultilevel"/>
    <w:tmpl w:val="15EC6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8">
    <w:nsid w:val="757C70BD"/>
    <w:multiLevelType w:val="hybridMultilevel"/>
    <w:tmpl w:val="77A0970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433082"/>
    <w:multiLevelType w:val="multilevel"/>
    <w:tmpl w:val="F556668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7BD57CEE"/>
    <w:multiLevelType w:val="hybridMultilevel"/>
    <w:tmpl w:val="FF88BA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3"/>
  </w:num>
  <w:num w:numId="5">
    <w:abstractNumId w:val="2"/>
  </w:num>
  <w:num w:numId="6">
    <w:abstractNumId w:val="5"/>
  </w:num>
  <w:num w:numId="7">
    <w:abstractNumId w:val="7"/>
  </w:num>
  <w:num w:numId="8">
    <w:abstractNumId w:val="16"/>
  </w:num>
  <w:num w:numId="9">
    <w:abstractNumId w:val="19"/>
  </w:num>
  <w:num w:numId="10">
    <w:abstractNumId w:val="27"/>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1"/>
  </w:num>
  <w:num w:numId="15">
    <w:abstractNumId w:val="24"/>
  </w:num>
  <w:num w:numId="16">
    <w:abstractNumId w:val="12"/>
  </w:num>
  <w:num w:numId="17">
    <w:abstractNumId w:val="9"/>
  </w:num>
  <w:num w:numId="18">
    <w:abstractNumId w:val="9"/>
  </w:num>
  <w:num w:numId="19">
    <w:abstractNumId w:val="9"/>
  </w:num>
  <w:num w:numId="20">
    <w:abstractNumId w:val="9"/>
  </w:num>
  <w:num w:numId="21">
    <w:abstractNumId w:val="9"/>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3"/>
  </w:num>
  <w:num w:numId="23">
    <w:abstractNumId w:val="2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3"/>
  </w:num>
  <w:num w:numId="26">
    <w:abstractNumId w:val="26"/>
  </w:num>
  <w:num w:numId="27">
    <w:abstractNumId w:val="11"/>
  </w:num>
  <w:num w:numId="28">
    <w:abstractNumId w:val="17"/>
  </w:num>
  <w:num w:numId="29">
    <w:abstractNumId w:val="4"/>
  </w:num>
  <w:num w:numId="30">
    <w:abstractNumId w:val="28"/>
  </w:num>
  <w:num w:numId="31">
    <w:abstractNumId w:val="8"/>
  </w:num>
  <w:num w:numId="32">
    <w:abstractNumId w:val="18"/>
  </w:num>
  <w:num w:numId="33">
    <w:abstractNumId w:val="14"/>
  </w:num>
  <w:num w:numId="34">
    <w:abstractNumId w:val="10"/>
  </w:num>
  <w:num w:numId="35">
    <w:abstractNumId w:val="25"/>
  </w:num>
  <w:num w:numId="36">
    <w:abstractNumId w:val="30"/>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02BF"/>
    <w:rsid w:val="00002212"/>
    <w:rsid w:val="00011CF4"/>
    <w:rsid w:val="00013A91"/>
    <w:rsid w:val="0001505F"/>
    <w:rsid w:val="0001668E"/>
    <w:rsid w:val="000203ED"/>
    <w:rsid w:val="000208F4"/>
    <w:rsid w:val="000222B7"/>
    <w:rsid w:val="00024F94"/>
    <w:rsid w:val="000319DC"/>
    <w:rsid w:val="00032C18"/>
    <w:rsid w:val="00033493"/>
    <w:rsid w:val="00035031"/>
    <w:rsid w:val="0003615F"/>
    <w:rsid w:val="00040C24"/>
    <w:rsid w:val="00047562"/>
    <w:rsid w:val="00051C83"/>
    <w:rsid w:val="00052940"/>
    <w:rsid w:val="000557BB"/>
    <w:rsid w:val="0005690C"/>
    <w:rsid w:val="00060627"/>
    <w:rsid w:val="00066803"/>
    <w:rsid w:val="00072F8B"/>
    <w:rsid w:val="00075D18"/>
    <w:rsid w:val="00080A4E"/>
    <w:rsid w:val="00080EFB"/>
    <w:rsid w:val="00081999"/>
    <w:rsid w:val="00084980"/>
    <w:rsid w:val="00084AAA"/>
    <w:rsid w:val="000852C3"/>
    <w:rsid w:val="000866F9"/>
    <w:rsid w:val="000871E9"/>
    <w:rsid w:val="0009383F"/>
    <w:rsid w:val="000959DC"/>
    <w:rsid w:val="00095D4C"/>
    <w:rsid w:val="000A2C1B"/>
    <w:rsid w:val="000A3270"/>
    <w:rsid w:val="000B36E9"/>
    <w:rsid w:val="000B42EF"/>
    <w:rsid w:val="000B4715"/>
    <w:rsid w:val="000B52B5"/>
    <w:rsid w:val="000B768D"/>
    <w:rsid w:val="000C0CB5"/>
    <w:rsid w:val="000C14DD"/>
    <w:rsid w:val="000D3C3D"/>
    <w:rsid w:val="000E18FA"/>
    <w:rsid w:val="000E5260"/>
    <w:rsid w:val="000E5F15"/>
    <w:rsid w:val="000E70AA"/>
    <w:rsid w:val="000F244D"/>
    <w:rsid w:val="00100FEF"/>
    <w:rsid w:val="00103053"/>
    <w:rsid w:val="001114AE"/>
    <w:rsid w:val="00111608"/>
    <w:rsid w:val="00111B0F"/>
    <w:rsid w:val="00114500"/>
    <w:rsid w:val="00124391"/>
    <w:rsid w:val="0012571D"/>
    <w:rsid w:val="00126A64"/>
    <w:rsid w:val="00127092"/>
    <w:rsid w:val="001303CF"/>
    <w:rsid w:val="00140BB1"/>
    <w:rsid w:val="00141ACF"/>
    <w:rsid w:val="00144A30"/>
    <w:rsid w:val="00145C70"/>
    <w:rsid w:val="00153D1B"/>
    <w:rsid w:val="00154D3C"/>
    <w:rsid w:val="00157C79"/>
    <w:rsid w:val="00161B5D"/>
    <w:rsid w:val="00180586"/>
    <w:rsid w:val="00182759"/>
    <w:rsid w:val="00191718"/>
    <w:rsid w:val="00193CB1"/>
    <w:rsid w:val="00196297"/>
    <w:rsid w:val="001967E1"/>
    <w:rsid w:val="001A292F"/>
    <w:rsid w:val="001A650A"/>
    <w:rsid w:val="001B2930"/>
    <w:rsid w:val="001B6FA0"/>
    <w:rsid w:val="001C2261"/>
    <w:rsid w:val="001C4CC7"/>
    <w:rsid w:val="001D4A91"/>
    <w:rsid w:val="001D4AC2"/>
    <w:rsid w:val="001E474B"/>
    <w:rsid w:val="001E5DAA"/>
    <w:rsid w:val="001E6077"/>
    <w:rsid w:val="001E7A04"/>
    <w:rsid w:val="002029B9"/>
    <w:rsid w:val="002062F7"/>
    <w:rsid w:val="00207B44"/>
    <w:rsid w:val="002126BF"/>
    <w:rsid w:val="0021439F"/>
    <w:rsid w:val="002270BB"/>
    <w:rsid w:val="002346D5"/>
    <w:rsid w:val="00240D1B"/>
    <w:rsid w:val="0024367B"/>
    <w:rsid w:val="00247C62"/>
    <w:rsid w:val="002527F5"/>
    <w:rsid w:val="002557F4"/>
    <w:rsid w:val="00257942"/>
    <w:rsid w:val="00257F3D"/>
    <w:rsid w:val="00261D6C"/>
    <w:rsid w:val="002639AF"/>
    <w:rsid w:val="002716C9"/>
    <w:rsid w:val="002720E1"/>
    <w:rsid w:val="002746FC"/>
    <w:rsid w:val="00274824"/>
    <w:rsid w:val="00276C4F"/>
    <w:rsid w:val="00280C16"/>
    <w:rsid w:val="00281406"/>
    <w:rsid w:val="002815A9"/>
    <w:rsid w:val="00281A65"/>
    <w:rsid w:val="00290809"/>
    <w:rsid w:val="00297EF1"/>
    <w:rsid w:val="002A0034"/>
    <w:rsid w:val="002B26C9"/>
    <w:rsid w:val="002C3F7B"/>
    <w:rsid w:val="002D08F1"/>
    <w:rsid w:val="002D18DD"/>
    <w:rsid w:val="002D6860"/>
    <w:rsid w:val="002D6A3C"/>
    <w:rsid w:val="002E2956"/>
    <w:rsid w:val="002E3E15"/>
    <w:rsid w:val="002E55F5"/>
    <w:rsid w:val="002F32A8"/>
    <w:rsid w:val="002F4E3F"/>
    <w:rsid w:val="002F7B3D"/>
    <w:rsid w:val="00300FBB"/>
    <w:rsid w:val="0030245F"/>
    <w:rsid w:val="00324E42"/>
    <w:rsid w:val="00330C7D"/>
    <w:rsid w:val="00335231"/>
    <w:rsid w:val="00337283"/>
    <w:rsid w:val="00340BCE"/>
    <w:rsid w:val="00340F80"/>
    <w:rsid w:val="00346947"/>
    <w:rsid w:val="0034762A"/>
    <w:rsid w:val="00352D45"/>
    <w:rsid w:val="003568BC"/>
    <w:rsid w:val="0035778A"/>
    <w:rsid w:val="0036226E"/>
    <w:rsid w:val="003622A0"/>
    <w:rsid w:val="0036231E"/>
    <w:rsid w:val="003672FB"/>
    <w:rsid w:val="003715BA"/>
    <w:rsid w:val="00371B4D"/>
    <w:rsid w:val="00371B7A"/>
    <w:rsid w:val="003724BD"/>
    <w:rsid w:val="003758B0"/>
    <w:rsid w:val="00380364"/>
    <w:rsid w:val="003812B3"/>
    <w:rsid w:val="0038306A"/>
    <w:rsid w:val="003844A4"/>
    <w:rsid w:val="00387F96"/>
    <w:rsid w:val="00390602"/>
    <w:rsid w:val="00391217"/>
    <w:rsid w:val="00391517"/>
    <w:rsid w:val="003B19BC"/>
    <w:rsid w:val="003C0179"/>
    <w:rsid w:val="003C31D3"/>
    <w:rsid w:val="003C3CB8"/>
    <w:rsid w:val="003C3DBC"/>
    <w:rsid w:val="003C4B36"/>
    <w:rsid w:val="003D6AE2"/>
    <w:rsid w:val="003E2577"/>
    <w:rsid w:val="003E3821"/>
    <w:rsid w:val="003E580F"/>
    <w:rsid w:val="003F005A"/>
    <w:rsid w:val="003F0DFA"/>
    <w:rsid w:val="003F7829"/>
    <w:rsid w:val="00401468"/>
    <w:rsid w:val="00407376"/>
    <w:rsid w:val="0041194A"/>
    <w:rsid w:val="00411B50"/>
    <w:rsid w:val="00430051"/>
    <w:rsid w:val="00433476"/>
    <w:rsid w:val="00434774"/>
    <w:rsid w:val="00434D05"/>
    <w:rsid w:val="00443883"/>
    <w:rsid w:val="004462F6"/>
    <w:rsid w:val="004473FB"/>
    <w:rsid w:val="00447B09"/>
    <w:rsid w:val="00453634"/>
    <w:rsid w:val="00455594"/>
    <w:rsid w:val="00464607"/>
    <w:rsid w:val="00465B0C"/>
    <w:rsid w:val="00466EEA"/>
    <w:rsid w:val="004704C4"/>
    <w:rsid w:val="00472081"/>
    <w:rsid w:val="00481E89"/>
    <w:rsid w:val="0048569F"/>
    <w:rsid w:val="0049792D"/>
    <w:rsid w:val="004A0196"/>
    <w:rsid w:val="004A72B7"/>
    <w:rsid w:val="004B4479"/>
    <w:rsid w:val="004B6AB9"/>
    <w:rsid w:val="004D1D41"/>
    <w:rsid w:val="004D5ABE"/>
    <w:rsid w:val="004D5F64"/>
    <w:rsid w:val="004E0B60"/>
    <w:rsid w:val="004E21F0"/>
    <w:rsid w:val="004E558D"/>
    <w:rsid w:val="004E5E1C"/>
    <w:rsid w:val="004F06BA"/>
    <w:rsid w:val="004F2692"/>
    <w:rsid w:val="004F4B3C"/>
    <w:rsid w:val="004F6E15"/>
    <w:rsid w:val="005041A3"/>
    <w:rsid w:val="005060BD"/>
    <w:rsid w:val="0053722E"/>
    <w:rsid w:val="00540725"/>
    <w:rsid w:val="0054334E"/>
    <w:rsid w:val="00547D8B"/>
    <w:rsid w:val="0055475A"/>
    <w:rsid w:val="00555E87"/>
    <w:rsid w:val="005568B6"/>
    <w:rsid w:val="005601FA"/>
    <w:rsid w:val="005613FB"/>
    <w:rsid w:val="0056385A"/>
    <w:rsid w:val="0056454D"/>
    <w:rsid w:val="005650B1"/>
    <w:rsid w:val="005706D5"/>
    <w:rsid w:val="00574CDA"/>
    <w:rsid w:val="005859DF"/>
    <w:rsid w:val="0059179E"/>
    <w:rsid w:val="005943E5"/>
    <w:rsid w:val="00597951"/>
    <w:rsid w:val="005D1B86"/>
    <w:rsid w:val="005D4100"/>
    <w:rsid w:val="005D4EB2"/>
    <w:rsid w:val="005E13FE"/>
    <w:rsid w:val="005E45C2"/>
    <w:rsid w:val="005E5C53"/>
    <w:rsid w:val="005F48B2"/>
    <w:rsid w:val="005F6375"/>
    <w:rsid w:val="0060015E"/>
    <w:rsid w:val="0060042C"/>
    <w:rsid w:val="00601C48"/>
    <w:rsid w:val="00605816"/>
    <w:rsid w:val="00611B1D"/>
    <w:rsid w:val="006125D1"/>
    <w:rsid w:val="006260EF"/>
    <w:rsid w:val="00632723"/>
    <w:rsid w:val="0063401B"/>
    <w:rsid w:val="0064718F"/>
    <w:rsid w:val="00650406"/>
    <w:rsid w:val="00650B2B"/>
    <w:rsid w:val="0065307C"/>
    <w:rsid w:val="00656AAA"/>
    <w:rsid w:val="0065724C"/>
    <w:rsid w:val="00661674"/>
    <w:rsid w:val="0066215A"/>
    <w:rsid w:val="006743AF"/>
    <w:rsid w:val="00681E50"/>
    <w:rsid w:val="0069111A"/>
    <w:rsid w:val="006921C8"/>
    <w:rsid w:val="006A4D29"/>
    <w:rsid w:val="006B36C3"/>
    <w:rsid w:val="006B37A0"/>
    <w:rsid w:val="006B570F"/>
    <w:rsid w:val="006B5B5A"/>
    <w:rsid w:val="006C1A1F"/>
    <w:rsid w:val="006C5B7D"/>
    <w:rsid w:val="006C6357"/>
    <w:rsid w:val="006D0787"/>
    <w:rsid w:val="006F78F8"/>
    <w:rsid w:val="007007AA"/>
    <w:rsid w:val="007022B9"/>
    <w:rsid w:val="00702A29"/>
    <w:rsid w:val="0070509F"/>
    <w:rsid w:val="0070657D"/>
    <w:rsid w:val="007105B4"/>
    <w:rsid w:val="00716DA2"/>
    <w:rsid w:val="00720520"/>
    <w:rsid w:val="00723CA8"/>
    <w:rsid w:val="0073281C"/>
    <w:rsid w:val="0073657C"/>
    <w:rsid w:val="007406C9"/>
    <w:rsid w:val="007420DC"/>
    <w:rsid w:val="00743F2F"/>
    <w:rsid w:val="00750537"/>
    <w:rsid w:val="00750C75"/>
    <w:rsid w:val="00751723"/>
    <w:rsid w:val="0075480D"/>
    <w:rsid w:val="00765C51"/>
    <w:rsid w:val="00776291"/>
    <w:rsid w:val="007778A7"/>
    <w:rsid w:val="0078127E"/>
    <w:rsid w:val="0078145B"/>
    <w:rsid w:val="007815E0"/>
    <w:rsid w:val="0078246F"/>
    <w:rsid w:val="00787DE9"/>
    <w:rsid w:val="00793D5D"/>
    <w:rsid w:val="007A131F"/>
    <w:rsid w:val="007A6CA8"/>
    <w:rsid w:val="007B006B"/>
    <w:rsid w:val="007B0BE7"/>
    <w:rsid w:val="007B2203"/>
    <w:rsid w:val="007B68A2"/>
    <w:rsid w:val="007C61C6"/>
    <w:rsid w:val="007C6D39"/>
    <w:rsid w:val="007D4067"/>
    <w:rsid w:val="007E34E3"/>
    <w:rsid w:val="007F74CE"/>
    <w:rsid w:val="0080063C"/>
    <w:rsid w:val="00805674"/>
    <w:rsid w:val="00805D1F"/>
    <w:rsid w:val="00807BA8"/>
    <w:rsid w:val="0081094D"/>
    <w:rsid w:val="0081643E"/>
    <w:rsid w:val="00816543"/>
    <w:rsid w:val="00816A0E"/>
    <w:rsid w:val="00816D8C"/>
    <w:rsid w:val="00832753"/>
    <w:rsid w:val="00834CFC"/>
    <w:rsid w:val="008365D8"/>
    <w:rsid w:val="008404EE"/>
    <w:rsid w:val="008464C7"/>
    <w:rsid w:val="0086386E"/>
    <w:rsid w:val="00870828"/>
    <w:rsid w:val="008724FC"/>
    <w:rsid w:val="00873085"/>
    <w:rsid w:val="00873D75"/>
    <w:rsid w:val="00873F60"/>
    <w:rsid w:val="00880C48"/>
    <w:rsid w:val="0088268A"/>
    <w:rsid w:val="0089064C"/>
    <w:rsid w:val="00895E5E"/>
    <w:rsid w:val="0089706D"/>
    <w:rsid w:val="008A3C24"/>
    <w:rsid w:val="008A4979"/>
    <w:rsid w:val="008A5E99"/>
    <w:rsid w:val="008B0758"/>
    <w:rsid w:val="008B6410"/>
    <w:rsid w:val="008C15E8"/>
    <w:rsid w:val="008C160A"/>
    <w:rsid w:val="008C20C4"/>
    <w:rsid w:val="008C7FE0"/>
    <w:rsid w:val="008E0398"/>
    <w:rsid w:val="008E2FCE"/>
    <w:rsid w:val="008E4340"/>
    <w:rsid w:val="008F3EBE"/>
    <w:rsid w:val="008F60DF"/>
    <w:rsid w:val="00901063"/>
    <w:rsid w:val="009022BF"/>
    <w:rsid w:val="009055E4"/>
    <w:rsid w:val="00911468"/>
    <w:rsid w:val="00913397"/>
    <w:rsid w:val="00914C9B"/>
    <w:rsid w:val="009212BB"/>
    <w:rsid w:val="00933556"/>
    <w:rsid w:val="009339E4"/>
    <w:rsid w:val="009355AD"/>
    <w:rsid w:val="00951B07"/>
    <w:rsid w:val="0095654B"/>
    <w:rsid w:val="00965C59"/>
    <w:rsid w:val="0096775B"/>
    <w:rsid w:val="0096792F"/>
    <w:rsid w:val="00970775"/>
    <w:rsid w:val="00973CC4"/>
    <w:rsid w:val="009755C3"/>
    <w:rsid w:val="009802CF"/>
    <w:rsid w:val="00981DF6"/>
    <w:rsid w:val="0098227E"/>
    <w:rsid w:val="00991F70"/>
    <w:rsid w:val="0099455D"/>
    <w:rsid w:val="009A1A5D"/>
    <w:rsid w:val="009A1A85"/>
    <w:rsid w:val="009A36D3"/>
    <w:rsid w:val="009A3FDE"/>
    <w:rsid w:val="009A78D8"/>
    <w:rsid w:val="009A7EBF"/>
    <w:rsid w:val="009B1352"/>
    <w:rsid w:val="009B4302"/>
    <w:rsid w:val="009C0AA2"/>
    <w:rsid w:val="009C0E99"/>
    <w:rsid w:val="009C50EE"/>
    <w:rsid w:val="009C6864"/>
    <w:rsid w:val="009D18ED"/>
    <w:rsid w:val="009D768F"/>
    <w:rsid w:val="009E1DE2"/>
    <w:rsid w:val="009E698D"/>
    <w:rsid w:val="009F2B05"/>
    <w:rsid w:val="00A033D1"/>
    <w:rsid w:val="00A041AE"/>
    <w:rsid w:val="00A11202"/>
    <w:rsid w:val="00A20A11"/>
    <w:rsid w:val="00A21A03"/>
    <w:rsid w:val="00A21AE3"/>
    <w:rsid w:val="00A232F0"/>
    <w:rsid w:val="00A30248"/>
    <w:rsid w:val="00A310F6"/>
    <w:rsid w:val="00A315EA"/>
    <w:rsid w:val="00A32618"/>
    <w:rsid w:val="00A330D8"/>
    <w:rsid w:val="00A34642"/>
    <w:rsid w:val="00A55A27"/>
    <w:rsid w:val="00A56B20"/>
    <w:rsid w:val="00A57B4B"/>
    <w:rsid w:val="00A83FAB"/>
    <w:rsid w:val="00A845B9"/>
    <w:rsid w:val="00A85B48"/>
    <w:rsid w:val="00A96B95"/>
    <w:rsid w:val="00AA09F1"/>
    <w:rsid w:val="00AA0D18"/>
    <w:rsid w:val="00AB0E3B"/>
    <w:rsid w:val="00AB1039"/>
    <w:rsid w:val="00AB1E76"/>
    <w:rsid w:val="00AB3581"/>
    <w:rsid w:val="00AC5936"/>
    <w:rsid w:val="00AE2227"/>
    <w:rsid w:val="00AF2693"/>
    <w:rsid w:val="00AF29C1"/>
    <w:rsid w:val="00AF38CA"/>
    <w:rsid w:val="00AF4AE1"/>
    <w:rsid w:val="00AF5924"/>
    <w:rsid w:val="00AF7AE0"/>
    <w:rsid w:val="00B01F71"/>
    <w:rsid w:val="00B10A1E"/>
    <w:rsid w:val="00B15CB0"/>
    <w:rsid w:val="00B1745C"/>
    <w:rsid w:val="00B20522"/>
    <w:rsid w:val="00B24933"/>
    <w:rsid w:val="00B25358"/>
    <w:rsid w:val="00B32D0F"/>
    <w:rsid w:val="00B34DFD"/>
    <w:rsid w:val="00B40AF4"/>
    <w:rsid w:val="00B42230"/>
    <w:rsid w:val="00B42252"/>
    <w:rsid w:val="00B46A82"/>
    <w:rsid w:val="00B51264"/>
    <w:rsid w:val="00B52A0F"/>
    <w:rsid w:val="00B53FD5"/>
    <w:rsid w:val="00B63EC3"/>
    <w:rsid w:val="00B652D1"/>
    <w:rsid w:val="00B66480"/>
    <w:rsid w:val="00B6662B"/>
    <w:rsid w:val="00B66F56"/>
    <w:rsid w:val="00B67374"/>
    <w:rsid w:val="00B71672"/>
    <w:rsid w:val="00B75CCD"/>
    <w:rsid w:val="00B85455"/>
    <w:rsid w:val="00B90327"/>
    <w:rsid w:val="00B921F1"/>
    <w:rsid w:val="00B9402C"/>
    <w:rsid w:val="00B97A8C"/>
    <w:rsid w:val="00BB0571"/>
    <w:rsid w:val="00BB3852"/>
    <w:rsid w:val="00BC1729"/>
    <w:rsid w:val="00BC7334"/>
    <w:rsid w:val="00BC7520"/>
    <w:rsid w:val="00BD2452"/>
    <w:rsid w:val="00BE0FE2"/>
    <w:rsid w:val="00BE4923"/>
    <w:rsid w:val="00BE5749"/>
    <w:rsid w:val="00BE67D2"/>
    <w:rsid w:val="00BF146A"/>
    <w:rsid w:val="00BF211A"/>
    <w:rsid w:val="00BF57C1"/>
    <w:rsid w:val="00C01FD3"/>
    <w:rsid w:val="00C02D3D"/>
    <w:rsid w:val="00C06E1A"/>
    <w:rsid w:val="00C07288"/>
    <w:rsid w:val="00C1560A"/>
    <w:rsid w:val="00C2207A"/>
    <w:rsid w:val="00C273AA"/>
    <w:rsid w:val="00C31039"/>
    <w:rsid w:val="00C37904"/>
    <w:rsid w:val="00C40650"/>
    <w:rsid w:val="00C41531"/>
    <w:rsid w:val="00C44305"/>
    <w:rsid w:val="00C458B4"/>
    <w:rsid w:val="00C46A2A"/>
    <w:rsid w:val="00C52B20"/>
    <w:rsid w:val="00C5579F"/>
    <w:rsid w:val="00C607EE"/>
    <w:rsid w:val="00C71877"/>
    <w:rsid w:val="00C74303"/>
    <w:rsid w:val="00C77F47"/>
    <w:rsid w:val="00C90736"/>
    <w:rsid w:val="00C94914"/>
    <w:rsid w:val="00CA2A0F"/>
    <w:rsid w:val="00CA5D38"/>
    <w:rsid w:val="00CA6075"/>
    <w:rsid w:val="00CB3943"/>
    <w:rsid w:val="00CB628C"/>
    <w:rsid w:val="00CC2B5E"/>
    <w:rsid w:val="00CC3B9F"/>
    <w:rsid w:val="00CD235C"/>
    <w:rsid w:val="00CD4D5E"/>
    <w:rsid w:val="00CD5661"/>
    <w:rsid w:val="00CD585E"/>
    <w:rsid w:val="00CD5B4D"/>
    <w:rsid w:val="00CE6F7B"/>
    <w:rsid w:val="00CF53BF"/>
    <w:rsid w:val="00D0004A"/>
    <w:rsid w:val="00D00927"/>
    <w:rsid w:val="00D0359E"/>
    <w:rsid w:val="00D04056"/>
    <w:rsid w:val="00D05183"/>
    <w:rsid w:val="00D05EF2"/>
    <w:rsid w:val="00D06D72"/>
    <w:rsid w:val="00D1038D"/>
    <w:rsid w:val="00D121E0"/>
    <w:rsid w:val="00D22DE4"/>
    <w:rsid w:val="00D23258"/>
    <w:rsid w:val="00D26877"/>
    <w:rsid w:val="00D30B14"/>
    <w:rsid w:val="00D30B90"/>
    <w:rsid w:val="00D32296"/>
    <w:rsid w:val="00D32B85"/>
    <w:rsid w:val="00D42BC0"/>
    <w:rsid w:val="00D4327B"/>
    <w:rsid w:val="00D43AE4"/>
    <w:rsid w:val="00D45E46"/>
    <w:rsid w:val="00D512AD"/>
    <w:rsid w:val="00D52E87"/>
    <w:rsid w:val="00D57518"/>
    <w:rsid w:val="00D57F8E"/>
    <w:rsid w:val="00D64A8D"/>
    <w:rsid w:val="00D64FA8"/>
    <w:rsid w:val="00D67406"/>
    <w:rsid w:val="00D803A6"/>
    <w:rsid w:val="00DA6DC5"/>
    <w:rsid w:val="00DB044C"/>
    <w:rsid w:val="00DB22D0"/>
    <w:rsid w:val="00DB2FB3"/>
    <w:rsid w:val="00DB720C"/>
    <w:rsid w:val="00DC0134"/>
    <w:rsid w:val="00DC5ECE"/>
    <w:rsid w:val="00DD4FD0"/>
    <w:rsid w:val="00DD532D"/>
    <w:rsid w:val="00DE0A08"/>
    <w:rsid w:val="00DE5385"/>
    <w:rsid w:val="00DE5EC8"/>
    <w:rsid w:val="00DF153B"/>
    <w:rsid w:val="00E00335"/>
    <w:rsid w:val="00E072D2"/>
    <w:rsid w:val="00E123F1"/>
    <w:rsid w:val="00E1766A"/>
    <w:rsid w:val="00E22CCF"/>
    <w:rsid w:val="00E26C49"/>
    <w:rsid w:val="00E271E7"/>
    <w:rsid w:val="00E41555"/>
    <w:rsid w:val="00E457CE"/>
    <w:rsid w:val="00E47F0D"/>
    <w:rsid w:val="00E51A9D"/>
    <w:rsid w:val="00E53CDB"/>
    <w:rsid w:val="00E61424"/>
    <w:rsid w:val="00E62F33"/>
    <w:rsid w:val="00E64D2F"/>
    <w:rsid w:val="00E66298"/>
    <w:rsid w:val="00E669EB"/>
    <w:rsid w:val="00E66DB4"/>
    <w:rsid w:val="00E70C5B"/>
    <w:rsid w:val="00E721A8"/>
    <w:rsid w:val="00E72DEB"/>
    <w:rsid w:val="00E81280"/>
    <w:rsid w:val="00E838D5"/>
    <w:rsid w:val="00E84BBE"/>
    <w:rsid w:val="00E903B6"/>
    <w:rsid w:val="00E942E9"/>
    <w:rsid w:val="00E951F1"/>
    <w:rsid w:val="00E977D0"/>
    <w:rsid w:val="00EA2305"/>
    <w:rsid w:val="00EB1338"/>
    <w:rsid w:val="00EC0C78"/>
    <w:rsid w:val="00EC6B6C"/>
    <w:rsid w:val="00ED5783"/>
    <w:rsid w:val="00EE2323"/>
    <w:rsid w:val="00EF7392"/>
    <w:rsid w:val="00F0004B"/>
    <w:rsid w:val="00F058B2"/>
    <w:rsid w:val="00F1101D"/>
    <w:rsid w:val="00F11FBC"/>
    <w:rsid w:val="00F14381"/>
    <w:rsid w:val="00F21EDF"/>
    <w:rsid w:val="00F25F48"/>
    <w:rsid w:val="00F50AB0"/>
    <w:rsid w:val="00F5292B"/>
    <w:rsid w:val="00F65452"/>
    <w:rsid w:val="00F72FE7"/>
    <w:rsid w:val="00F829A6"/>
    <w:rsid w:val="00F93709"/>
    <w:rsid w:val="00F95E43"/>
    <w:rsid w:val="00F9656B"/>
    <w:rsid w:val="00FA3F37"/>
    <w:rsid w:val="00FB076C"/>
    <w:rsid w:val="00FB3DAE"/>
    <w:rsid w:val="00FB7325"/>
    <w:rsid w:val="00FC13F4"/>
    <w:rsid w:val="00FC4E7C"/>
    <w:rsid w:val="00FC69FE"/>
    <w:rsid w:val="00FD0AD0"/>
    <w:rsid w:val="00FD1A8B"/>
    <w:rsid w:val="00FD4312"/>
    <w:rsid w:val="00FD44BB"/>
    <w:rsid w:val="00FE0807"/>
    <w:rsid w:val="00FE3C28"/>
    <w:rsid w:val="00FF56B9"/>
    <w:rsid w:val="00FF78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lang w:bidi="ar-SA"/>
    </w:rPr>
  </w:style>
  <w:style w:type="paragraph" w:styleId="Heading1">
    <w:name w:val="heading 1"/>
    <w:basedOn w:val="Normal"/>
    <w:next w:val="Normal"/>
    <w:autoRedefine/>
    <w:qFormat/>
    <w:rsid w:val="00A85B48"/>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080EFB"/>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lang w:bidi="ar-SA"/>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uiPriority w:val="99"/>
    <w:rPr>
      <w:color w:val="0000FF"/>
      <w:u w:val="single"/>
    </w:rPr>
  </w:style>
  <w:style w:type="paragraph" w:styleId="TOC1">
    <w:name w:val="toc 1"/>
    <w:basedOn w:val="Normal"/>
    <w:next w:val="Normal"/>
    <w:autoRedefine/>
    <w:uiPriority w:val="39"/>
    <w:pPr>
      <w:jc w:val="left"/>
    </w:pPr>
    <w:rPr>
      <w:b/>
      <w:bCs/>
      <w:i/>
      <w:iCs/>
      <w:szCs w:val="28"/>
    </w:rPr>
  </w:style>
  <w:style w:type="paragraph" w:styleId="TOC2">
    <w:name w:val="toc 2"/>
    <w:basedOn w:val="Normal"/>
    <w:next w:val="Normal"/>
    <w:autoRedefine/>
    <w:uiPriority w:val="39"/>
    <w:pPr>
      <w:ind w:left="240"/>
      <w:jc w:val="left"/>
    </w:pPr>
    <w:rPr>
      <w:b/>
      <w:bCs/>
      <w:szCs w:val="26"/>
    </w:rPr>
  </w:style>
  <w:style w:type="paragraph" w:styleId="TOC3">
    <w:name w:val="toc 3"/>
    <w:basedOn w:val="Normal"/>
    <w:next w:val="Normal"/>
    <w:autoRedefine/>
    <w:uiPriority w:val="39"/>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rsid w:val="00D803A6"/>
    <w:pPr>
      <w:spacing w:before="0"/>
    </w:pPr>
    <w:rPr>
      <w:rFonts w:ascii="Tahoma" w:hAnsi="Tahoma" w:cs="Tahoma"/>
      <w:sz w:val="16"/>
      <w:szCs w:val="16"/>
    </w:rPr>
  </w:style>
  <w:style w:type="character" w:customStyle="1" w:styleId="BalloonTextChar">
    <w:name w:val="Balloon Text Char"/>
    <w:link w:val="BalloonText"/>
    <w:rsid w:val="00D803A6"/>
    <w:rPr>
      <w:rFonts w:ascii="Tahoma" w:hAnsi="Tahoma" w:cs="Tahoma"/>
      <w:sz w:val="16"/>
      <w:szCs w:val="16"/>
    </w:rPr>
  </w:style>
  <w:style w:type="paragraph" w:styleId="TOCHeading">
    <w:name w:val="TOC Heading"/>
    <w:basedOn w:val="Heading1"/>
    <w:next w:val="Normal"/>
    <w:uiPriority w:val="39"/>
    <w:unhideWhenUsed/>
    <w:qFormat/>
    <w:rsid w:val="00DD532D"/>
    <w:pPr>
      <w:keepLines/>
      <w:numPr>
        <w:numId w:val="0"/>
      </w:numPr>
      <w:spacing w:before="480" w:after="0" w:line="276" w:lineRule="auto"/>
      <w:jc w:val="left"/>
      <w:outlineLvl w:val="9"/>
    </w:pPr>
    <w:rPr>
      <w:rFonts w:ascii="Cambria" w:eastAsia="MS Gothic" w:hAnsi="Cambria"/>
      <w:bCs/>
      <w:color w:val="365F91"/>
      <w:kern w:val="0"/>
      <w:szCs w:val="28"/>
      <w:lang w:eastAsia="ja-JP"/>
    </w:rPr>
  </w:style>
  <w:style w:type="table" w:styleId="TableGrid">
    <w:name w:val="Table Grid"/>
    <w:basedOn w:val="TableNormal"/>
    <w:rsid w:val="00DD5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46A2A"/>
    <w:rPr>
      <w:sz w:val="24"/>
      <w:lang w:bidi="ar-SA"/>
    </w:rPr>
  </w:style>
  <w:style w:type="paragraph" w:styleId="EndnoteText">
    <w:name w:val="endnote text"/>
    <w:basedOn w:val="Normal"/>
    <w:link w:val="EndnoteTextChar"/>
    <w:rsid w:val="00D06D72"/>
    <w:rPr>
      <w:sz w:val="20"/>
    </w:rPr>
  </w:style>
  <w:style w:type="character" w:customStyle="1" w:styleId="EndnoteTextChar">
    <w:name w:val="Endnote Text Char"/>
    <w:link w:val="EndnoteText"/>
    <w:rsid w:val="00D06D72"/>
    <w:rPr>
      <w:lang w:bidi="ar-SA"/>
    </w:rPr>
  </w:style>
  <w:style w:type="character" w:styleId="EndnoteReference">
    <w:name w:val="endnote reference"/>
    <w:rsid w:val="00D06D72"/>
    <w:rPr>
      <w:vertAlign w:val="superscript"/>
    </w:rPr>
  </w:style>
  <w:style w:type="character" w:styleId="Emphasis">
    <w:name w:val="Emphasis"/>
    <w:uiPriority w:val="20"/>
    <w:qFormat/>
    <w:rsid w:val="00D06D72"/>
    <w:rPr>
      <w:i/>
      <w:iCs/>
    </w:rPr>
  </w:style>
  <w:style w:type="character" w:styleId="HTMLCite">
    <w:name w:val="HTML Cite"/>
    <w:uiPriority w:val="99"/>
    <w:unhideWhenUsed/>
    <w:rsid w:val="00AB3581"/>
    <w:rPr>
      <w:i/>
      <w:iCs/>
    </w:rPr>
  </w:style>
  <w:style w:type="character" w:styleId="FollowedHyperlink">
    <w:name w:val="FollowedHyperlink"/>
    <w:rsid w:val="003568BC"/>
    <w:rPr>
      <w:color w:val="800080"/>
      <w:u w:val="single"/>
    </w:rPr>
  </w:style>
  <w:style w:type="character" w:styleId="PlaceholderText">
    <w:name w:val="Placeholder Text"/>
    <w:basedOn w:val="DefaultParagraphFont"/>
    <w:uiPriority w:val="99"/>
    <w:semiHidden/>
    <w:rsid w:val="00433476"/>
    <w:rPr>
      <w:color w:val="808080"/>
    </w:rPr>
  </w:style>
  <w:style w:type="paragraph" w:styleId="ListParagraph">
    <w:name w:val="List Paragraph"/>
    <w:basedOn w:val="Normal"/>
    <w:uiPriority w:val="34"/>
    <w:qFormat/>
    <w:rsid w:val="0001668E"/>
    <w:pPr>
      <w:ind w:left="720"/>
      <w:contextualSpacing/>
    </w:pPr>
  </w:style>
  <w:style w:type="character" w:customStyle="1" w:styleId="apple-style-span">
    <w:name w:val="apple-style-span"/>
    <w:basedOn w:val="DefaultParagraphFont"/>
    <w:rsid w:val="00B40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lang w:bidi="ar-SA"/>
    </w:rPr>
  </w:style>
  <w:style w:type="paragraph" w:styleId="Heading1">
    <w:name w:val="heading 1"/>
    <w:basedOn w:val="Normal"/>
    <w:next w:val="Normal"/>
    <w:autoRedefine/>
    <w:qFormat/>
    <w:rsid w:val="00A85B48"/>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080EFB"/>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lang w:bidi="ar-SA"/>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uiPriority w:val="99"/>
    <w:rPr>
      <w:color w:val="0000FF"/>
      <w:u w:val="single"/>
    </w:rPr>
  </w:style>
  <w:style w:type="paragraph" w:styleId="TOC1">
    <w:name w:val="toc 1"/>
    <w:basedOn w:val="Normal"/>
    <w:next w:val="Normal"/>
    <w:autoRedefine/>
    <w:uiPriority w:val="39"/>
    <w:pPr>
      <w:jc w:val="left"/>
    </w:pPr>
    <w:rPr>
      <w:b/>
      <w:bCs/>
      <w:i/>
      <w:iCs/>
      <w:szCs w:val="28"/>
    </w:rPr>
  </w:style>
  <w:style w:type="paragraph" w:styleId="TOC2">
    <w:name w:val="toc 2"/>
    <w:basedOn w:val="Normal"/>
    <w:next w:val="Normal"/>
    <w:autoRedefine/>
    <w:uiPriority w:val="39"/>
    <w:pPr>
      <w:ind w:left="240"/>
      <w:jc w:val="left"/>
    </w:pPr>
    <w:rPr>
      <w:b/>
      <w:bCs/>
      <w:szCs w:val="26"/>
    </w:rPr>
  </w:style>
  <w:style w:type="paragraph" w:styleId="TOC3">
    <w:name w:val="toc 3"/>
    <w:basedOn w:val="Normal"/>
    <w:next w:val="Normal"/>
    <w:autoRedefine/>
    <w:uiPriority w:val="39"/>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rsid w:val="00D803A6"/>
    <w:pPr>
      <w:spacing w:before="0"/>
    </w:pPr>
    <w:rPr>
      <w:rFonts w:ascii="Tahoma" w:hAnsi="Tahoma" w:cs="Tahoma"/>
      <w:sz w:val="16"/>
      <w:szCs w:val="16"/>
    </w:rPr>
  </w:style>
  <w:style w:type="character" w:customStyle="1" w:styleId="BalloonTextChar">
    <w:name w:val="Balloon Text Char"/>
    <w:link w:val="BalloonText"/>
    <w:rsid w:val="00D803A6"/>
    <w:rPr>
      <w:rFonts w:ascii="Tahoma" w:hAnsi="Tahoma" w:cs="Tahoma"/>
      <w:sz w:val="16"/>
      <w:szCs w:val="16"/>
    </w:rPr>
  </w:style>
  <w:style w:type="paragraph" w:styleId="TOCHeading">
    <w:name w:val="TOC Heading"/>
    <w:basedOn w:val="Heading1"/>
    <w:next w:val="Normal"/>
    <w:uiPriority w:val="39"/>
    <w:unhideWhenUsed/>
    <w:qFormat/>
    <w:rsid w:val="00DD532D"/>
    <w:pPr>
      <w:keepLines/>
      <w:numPr>
        <w:numId w:val="0"/>
      </w:numPr>
      <w:spacing w:before="480" w:after="0" w:line="276" w:lineRule="auto"/>
      <w:jc w:val="left"/>
      <w:outlineLvl w:val="9"/>
    </w:pPr>
    <w:rPr>
      <w:rFonts w:ascii="Cambria" w:eastAsia="MS Gothic" w:hAnsi="Cambria"/>
      <w:bCs/>
      <w:color w:val="365F91"/>
      <w:kern w:val="0"/>
      <w:szCs w:val="28"/>
      <w:lang w:eastAsia="ja-JP"/>
    </w:rPr>
  </w:style>
  <w:style w:type="table" w:styleId="TableGrid">
    <w:name w:val="Table Grid"/>
    <w:basedOn w:val="TableNormal"/>
    <w:rsid w:val="00DD5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46A2A"/>
    <w:rPr>
      <w:sz w:val="24"/>
      <w:lang w:bidi="ar-SA"/>
    </w:rPr>
  </w:style>
  <w:style w:type="paragraph" w:styleId="EndnoteText">
    <w:name w:val="endnote text"/>
    <w:basedOn w:val="Normal"/>
    <w:link w:val="EndnoteTextChar"/>
    <w:rsid w:val="00D06D72"/>
    <w:rPr>
      <w:sz w:val="20"/>
    </w:rPr>
  </w:style>
  <w:style w:type="character" w:customStyle="1" w:styleId="EndnoteTextChar">
    <w:name w:val="Endnote Text Char"/>
    <w:link w:val="EndnoteText"/>
    <w:rsid w:val="00D06D72"/>
    <w:rPr>
      <w:lang w:bidi="ar-SA"/>
    </w:rPr>
  </w:style>
  <w:style w:type="character" w:styleId="EndnoteReference">
    <w:name w:val="endnote reference"/>
    <w:rsid w:val="00D06D72"/>
    <w:rPr>
      <w:vertAlign w:val="superscript"/>
    </w:rPr>
  </w:style>
  <w:style w:type="character" w:styleId="Emphasis">
    <w:name w:val="Emphasis"/>
    <w:uiPriority w:val="20"/>
    <w:qFormat/>
    <w:rsid w:val="00D06D72"/>
    <w:rPr>
      <w:i/>
      <w:iCs/>
    </w:rPr>
  </w:style>
  <w:style w:type="character" w:styleId="HTMLCite">
    <w:name w:val="HTML Cite"/>
    <w:uiPriority w:val="99"/>
    <w:unhideWhenUsed/>
    <w:rsid w:val="00AB3581"/>
    <w:rPr>
      <w:i/>
      <w:iCs/>
    </w:rPr>
  </w:style>
  <w:style w:type="character" w:styleId="FollowedHyperlink">
    <w:name w:val="FollowedHyperlink"/>
    <w:rsid w:val="003568BC"/>
    <w:rPr>
      <w:color w:val="800080"/>
      <w:u w:val="single"/>
    </w:rPr>
  </w:style>
  <w:style w:type="character" w:styleId="PlaceholderText">
    <w:name w:val="Placeholder Text"/>
    <w:basedOn w:val="DefaultParagraphFont"/>
    <w:uiPriority w:val="99"/>
    <w:semiHidden/>
    <w:rsid w:val="00433476"/>
    <w:rPr>
      <w:color w:val="808080"/>
    </w:rPr>
  </w:style>
  <w:style w:type="paragraph" w:styleId="ListParagraph">
    <w:name w:val="List Paragraph"/>
    <w:basedOn w:val="Normal"/>
    <w:uiPriority w:val="34"/>
    <w:qFormat/>
    <w:rsid w:val="0001668E"/>
    <w:pPr>
      <w:ind w:left="720"/>
      <w:contextualSpacing/>
    </w:pPr>
  </w:style>
  <w:style w:type="character" w:customStyle="1" w:styleId="apple-style-span">
    <w:name w:val="apple-style-span"/>
    <w:basedOn w:val="DefaultParagraphFont"/>
    <w:rsid w:val="00B4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966">
      <w:bodyDiv w:val="1"/>
      <w:marLeft w:val="0"/>
      <w:marRight w:val="0"/>
      <w:marTop w:val="0"/>
      <w:marBottom w:val="0"/>
      <w:divBdr>
        <w:top w:val="none" w:sz="0" w:space="0" w:color="auto"/>
        <w:left w:val="none" w:sz="0" w:space="0" w:color="auto"/>
        <w:bottom w:val="none" w:sz="0" w:space="0" w:color="auto"/>
        <w:right w:val="none" w:sz="0" w:space="0" w:color="auto"/>
      </w:divBdr>
    </w:div>
    <w:div w:id="163323914">
      <w:bodyDiv w:val="1"/>
      <w:marLeft w:val="0"/>
      <w:marRight w:val="0"/>
      <w:marTop w:val="0"/>
      <w:marBottom w:val="0"/>
      <w:divBdr>
        <w:top w:val="none" w:sz="0" w:space="0" w:color="auto"/>
        <w:left w:val="none" w:sz="0" w:space="0" w:color="auto"/>
        <w:bottom w:val="none" w:sz="0" w:space="0" w:color="auto"/>
        <w:right w:val="none" w:sz="0" w:space="0" w:color="auto"/>
      </w:divBdr>
    </w:div>
    <w:div w:id="249043981">
      <w:bodyDiv w:val="1"/>
      <w:marLeft w:val="0"/>
      <w:marRight w:val="0"/>
      <w:marTop w:val="0"/>
      <w:marBottom w:val="0"/>
      <w:divBdr>
        <w:top w:val="none" w:sz="0" w:space="0" w:color="auto"/>
        <w:left w:val="none" w:sz="0" w:space="0" w:color="auto"/>
        <w:bottom w:val="none" w:sz="0" w:space="0" w:color="auto"/>
        <w:right w:val="none" w:sz="0" w:space="0" w:color="auto"/>
      </w:divBdr>
    </w:div>
    <w:div w:id="385185552">
      <w:bodyDiv w:val="1"/>
      <w:marLeft w:val="0"/>
      <w:marRight w:val="0"/>
      <w:marTop w:val="0"/>
      <w:marBottom w:val="0"/>
      <w:divBdr>
        <w:top w:val="none" w:sz="0" w:space="0" w:color="auto"/>
        <w:left w:val="none" w:sz="0" w:space="0" w:color="auto"/>
        <w:bottom w:val="none" w:sz="0" w:space="0" w:color="auto"/>
        <w:right w:val="none" w:sz="0" w:space="0" w:color="auto"/>
      </w:divBdr>
    </w:div>
    <w:div w:id="444619313">
      <w:bodyDiv w:val="1"/>
      <w:marLeft w:val="0"/>
      <w:marRight w:val="0"/>
      <w:marTop w:val="0"/>
      <w:marBottom w:val="0"/>
      <w:divBdr>
        <w:top w:val="none" w:sz="0" w:space="0" w:color="auto"/>
        <w:left w:val="none" w:sz="0" w:space="0" w:color="auto"/>
        <w:bottom w:val="none" w:sz="0" w:space="0" w:color="auto"/>
        <w:right w:val="none" w:sz="0" w:space="0" w:color="auto"/>
      </w:divBdr>
    </w:div>
    <w:div w:id="602298741">
      <w:bodyDiv w:val="1"/>
      <w:marLeft w:val="0"/>
      <w:marRight w:val="0"/>
      <w:marTop w:val="0"/>
      <w:marBottom w:val="0"/>
      <w:divBdr>
        <w:top w:val="none" w:sz="0" w:space="0" w:color="auto"/>
        <w:left w:val="none" w:sz="0" w:space="0" w:color="auto"/>
        <w:bottom w:val="none" w:sz="0" w:space="0" w:color="auto"/>
        <w:right w:val="none" w:sz="0" w:space="0" w:color="auto"/>
      </w:divBdr>
    </w:div>
    <w:div w:id="669676150">
      <w:bodyDiv w:val="1"/>
      <w:marLeft w:val="0"/>
      <w:marRight w:val="0"/>
      <w:marTop w:val="0"/>
      <w:marBottom w:val="0"/>
      <w:divBdr>
        <w:top w:val="none" w:sz="0" w:space="0" w:color="auto"/>
        <w:left w:val="none" w:sz="0" w:space="0" w:color="auto"/>
        <w:bottom w:val="none" w:sz="0" w:space="0" w:color="auto"/>
        <w:right w:val="none" w:sz="0" w:space="0" w:color="auto"/>
      </w:divBdr>
    </w:div>
    <w:div w:id="709573266">
      <w:bodyDiv w:val="1"/>
      <w:marLeft w:val="0"/>
      <w:marRight w:val="0"/>
      <w:marTop w:val="0"/>
      <w:marBottom w:val="0"/>
      <w:divBdr>
        <w:top w:val="none" w:sz="0" w:space="0" w:color="auto"/>
        <w:left w:val="none" w:sz="0" w:space="0" w:color="auto"/>
        <w:bottom w:val="none" w:sz="0" w:space="0" w:color="auto"/>
        <w:right w:val="none" w:sz="0" w:space="0" w:color="auto"/>
      </w:divBdr>
    </w:div>
    <w:div w:id="809591695">
      <w:bodyDiv w:val="1"/>
      <w:marLeft w:val="0"/>
      <w:marRight w:val="0"/>
      <w:marTop w:val="0"/>
      <w:marBottom w:val="0"/>
      <w:divBdr>
        <w:top w:val="none" w:sz="0" w:space="0" w:color="auto"/>
        <w:left w:val="none" w:sz="0" w:space="0" w:color="auto"/>
        <w:bottom w:val="none" w:sz="0" w:space="0" w:color="auto"/>
        <w:right w:val="none" w:sz="0" w:space="0" w:color="auto"/>
      </w:divBdr>
    </w:div>
    <w:div w:id="1087767178">
      <w:bodyDiv w:val="1"/>
      <w:marLeft w:val="0"/>
      <w:marRight w:val="0"/>
      <w:marTop w:val="0"/>
      <w:marBottom w:val="0"/>
      <w:divBdr>
        <w:top w:val="none" w:sz="0" w:space="0" w:color="auto"/>
        <w:left w:val="none" w:sz="0" w:space="0" w:color="auto"/>
        <w:bottom w:val="none" w:sz="0" w:space="0" w:color="auto"/>
        <w:right w:val="none" w:sz="0" w:space="0" w:color="auto"/>
      </w:divBdr>
    </w:div>
    <w:div w:id="1274821115">
      <w:bodyDiv w:val="1"/>
      <w:marLeft w:val="0"/>
      <w:marRight w:val="0"/>
      <w:marTop w:val="0"/>
      <w:marBottom w:val="0"/>
      <w:divBdr>
        <w:top w:val="none" w:sz="0" w:space="0" w:color="auto"/>
        <w:left w:val="none" w:sz="0" w:space="0" w:color="auto"/>
        <w:bottom w:val="none" w:sz="0" w:space="0" w:color="auto"/>
        <w:right w:val="none" w:sz="0" w:space="0" w:color="auto"/>
      </w:divBdr>
    </w:div>
    <w:div w:id="1380975008">
      <w:bodyDiv w:val="1"/>
      <w:marLeft w:val="0"/>
      <w:marRight w:val="0"/>
      <w:marTop w:val="0"/>
      <w:marBottom w:val="0"/>
      <w:divBdr>
        <w:top w:val="none" w:sz="0" w:space="0" w:color="auto"/>
        <w:left w:val="none" w:sz="0" w:space="0" w:color="auto"/>
        <w:bottom w:val="none" w:sz="0" w:space="0" w:color="auto"/>
        <w:right w:val="none" w:sz="0" w:space="0" w:color="auto"/>
      </w:divBdr>
    </w:div>
    <w:div w:id="1479375012">
      <w:bodyDiv w:val="1"/>
      <w:marLeft w:val="0"/>
      <w:marRight w:val="0"/>
      <w:marTop w:val="0"/>
      <w:marBottom w:val="0"/>
      <w:divBdr>
        <w:top w:val="none" w:sz="0" w:space="0" w:color="auto"/>
        <w:left w:val="none" w:sz="0" w:space="0" w:color="auto"/>
        <w:bottom w:val="none" w:sz="0" w:space="0" w:color="auto"/>
        <w:right w:val="none" w:sz="0" w:space="0" w:color="auto"/>
      </w:divBdr>
    </w:div>
    <w:div w:id="1528330666">
      <w:bodyDiv w:val="1"/>
      <w:marLeft w:val="0"/>
      <w:marRight w:val="0"/>
      <w:marTop w:val="0"/>
      <w:marBottom w:val="0"/>
      <w:divBdr>
        <w:top w:val="none" w:sz="0" w:space="0" w:color="auto"/>
        <w:left w:val="none" w:sz="0" w:space="0" w:color="auto"/>
        <w:bottom w:val="none" w:sz="0" w:space="0" w:color="auto"/>
        <w:right w:val="none" w:sz="0" w:space="0" w:color="auto"/>
      </w:divBdr>
    </w:div>
    <w:div w:id="1542279206">
      <w:bodyDiv w:val="1"/>
      <w:marLeft w:val="0"/>
      <w:marRight w:val="0"/>
      <w:marTop w:val="0"/>
      <w:marBottom w:val="0"/>
      <w:divBdr>
        <w:top w:val="none" w:sz="0" w:space="0" w:color="auto"/>
        <w:left w:val="none" w:sz="0" w:space="0" w:color="auto"/>
        <w:bottom w:val="none" w:sz="0" w:space="0" w:color="auto"/>
        <w:right w:val="none" w:sz="0" w:space="0" w:color="auto"/>
      </w:divBdr>
    </w:div>
    <w:div w:id="19846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cc.ligo.org/cgi-bin/private/DocDB/ShowDocument?docid=9983"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cc.ligo.org/cgi-bin/private/DocDB/ShowDocument?docid=9799" TargetMode="External"/><Relationship Id="rId7" Type="http://schemas.openxmlformats.org/officeDocument/2006/relationships/footnotes" Target="footnotes.xml"/><Relationship Id="rId12" Type="http://schemas.openxmlformats.org/officeDocument/2006/relationships/hyperlink" Target="https://dcc.ligo.org/cgi-bin/private/DocDB/ShowDocument?docid=2974" TargetMode="External"/><Relationship Id="rId17" Type="http://schemas.openxmlformats.org/officeDocument/2006/relationships/hyperlink" Target="https://dcc.ligo.org/cgi-bin/private/DocDB/ShowDocument?docid=3937" TargetMode="External"/><Relationship Id="rId25" Type="http://schemas.openxmlformats.org/officeDocument/2006/relationships/hyperlink" Target="https://dcc.ligo.org/cgi-bin/private/DocDB/ShowDocument?docid=574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dcc.ligo.org/cgi-bin/private/DocDB/ShowDocument?docid=6763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pir.caltech.edu/~lindblom/Publications/86_PhysRevD_80_042005.pdf" TargetMode="External"/><Relationship Id="rId24" Type="http://schemas.openxmlformats.org/officeDocument/2006/relationships/hyperlink" Target="https://dcc.ligo.org/cgi-bin/private/DocDB/ShowDocument?docid=703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cc.ligo.org/cgi-bin/private/DocDB/ShowDocument?docid=2974" TargetMode="External"/><Relationship Id="rId23" Type="http://schemas.openxmlformats.org/officeDocument/2006/relationships/hyperlink" Target="https://dcc.ligo.org/cgi-bin/private/DocDB/ShowDocument?docid=40687" TargetMode="External"/><Relationship Id="rId28" Type="http://schemas.openxmlformats.org/officeDocument/2006/relationships/footer" Target="footer1.xml"/><Relationship Id="rId10" Type="http://schemas.openxmlformats.org/officeDocument/2006/relationships/hyperlink" Target="https://dcc.ligo.org/cgi-bin/private/DocDB/ShowDocument?docid=9983" TargetMode="External"/><Relationship Id="rId19" Type="http://schemas.openxmlformats.org/officeDocument/2006/relationships/hyperlink" Target="https://dcc.ligo.org/cgi-bin/private/DocDB/ShowDocument?docid=14151"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dcc.ligo.org/cgi-bin/private/DocDB/ShowDocument?docid=39357" TargetMode="External"/><Relationship Id="rId14" Type="http://schemas.openxmlformats.org/officeDocument/2006/relationships/hyperlink" Target="https://dcc.ligo.org/cgi-bin/private/DocDB/ShowDocument?docid=2974" TargetMode="External"/><Relationship Id="rId22" Type="http://schemas.openxmlformats.org/officeDocument/2006/relationships/hyperlink" Target="https://nebula.ligo.caltech.edu/optics/"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tapir.caltech.edu/~lindblom/Publications/86_PhysRevD_80_042005.pdf"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Sie10</b:Tag>
    <b:SourceType>DocumentFromInternetSite</b:SourceType>
    <b:Guid>{0DEA1FE8-D006-429F-89B5-9929BC5ED45D}</b:Guid>
    <b:Title>Calibration in the Advanced Detector Era</b:Title>
    <b:InternetSiteTitle>LIGO DCC</b:InternetSiteTitle>
    <b:Year>2010</b:Year>
    <b:Month>March</b:Month>
    <b:Day>15</b:Day>
    <b:URL>https://dcc.ligo.org/cgi-bin/private/DocDB/ShowDocument?docid=9983</b:URL>
    <b:Author>
      <b:Author>
        <b:NameList>
          <b:Person>
            <b:Last>Siemens</b:Last>
            <b:First>Xavier</b:First>
          </b:Person>
        </b:NameList>
      </b:Author>
    </b:Author>
    <b:RefOrder>1</b:RefOrder>
  </b:Source>
</b:Sources>
</file>

<file path=customXml/itemProps1.xml><?xml version="1.0" encoding="utf-8"?>
<ds:datastoreItem xmlns:ds="http://schemas.openxmlformats.org/officeDocument/2006/customXml" ds:itemID="{7970A579-0403-419D-AEFF-EBD65FDD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7</Pages>
  <Words>1737</Words>
  <Characters>9763</Characters>
  <Application>Microsoft Office Word</Application>
  <DocSecurity>0</DocSecurity>
  <Lines>232</Lines>
  <Paragraphs>161</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
  <LinksUpToDate>false</LinksUpToDate>
  <CharactersWithSpaces>11339</CharactersWithSpaces>
  <SharedDoc>false</SharedDoc>
  <HLinks>
    <vt:vector size="36" baseType="variant">
      <vt:variant>
        <vt:i4>3211324</vt:i4>
      </vt:variant>
      <vt:variant>
        <vt:i4>15</vt:i4>
      </vt:variant>
      <vt:variant>
        <vt:i4>0</vt:i4>
      </vt:variant>
      <vt:variant>
        <vt:i4>5</vt:i4>
      </vt:variant>
      <vt:variant>
        <vt:lpwstr>https://dcc.ligo.org/cgi-bin/private/DocDB/ShowDocument?docid=13226</vt:lpwstr>
      </vt:variant>
      <vt:variant>
        <vt:lpwstr/>
      </vt:variant>
      <vt:variant>
        <vt:i4>3801151</vt:i4>
      </vt:variant>
      <vt:variant>
        <vt:i4>12</vt:i4>
      </vt:variant>
      <vt:variant>
        <vt:i4>0</vt:i4>
      </vt:variant>
      <vt:variant>
        <vt:i4>5</vt:i4>
      </vt:variant>
      <vt:variant>
        <vt:lpwstr>https://dcc.ligo.org/cgi-bin/private/DocDB/ShowDocument?docid=2822</vt:lpwstr>
      </vt:variant>
      <vt:variant>
        <vt:lpwstr/>
      </vt:variant>
      <vt:variant>
        <vt:i4>3932222</vt:i4>
      </vt:variant>
      <vt:variant>
        <vt:i4>9</vt:i4>
      </vt:variant>
      <vt:variant>
        <vt:i4>0</vt:i4>
      </vt:variant>
      <vt:variant>
        <vt:i4>5</vt:i4>
      </vt:variant>
      <vt:variant>
        <vt:lpwstr>https://dcc.ligo.org/cgi-bin/private/DocDB/ShowDocument?docid=2438</vt:lpwstr>
      </vt:variant>
      <vt:variant>
        <vt:lpwstr/>
      </vt:variant>
      <vt:variant>
        <vt:i4>3932223</vt:i4>
      </vt:variant>
      <vt:variant>
        <vt:i4>6</vt:i4>
      </vt:variant>
      <vt:variant>
        <vt:i4>0</vt:i4>
      </vt:variant>
      <vt:variant>
        <vt:i4>5</vt:i4>
      </vt:variant>
      <vt:variant>
        <vt:lpwstr>https://dcc.ligo.org/cgi-bin/private/DocDB/ShowDocument?docid=39357</vt:lpwstr>
      </vt:variant>
      <vt:variant>
        <vt:lpwstr/>
      </vt:variant>
      <vt:variant>
        <vt:i4>2293772</vt:i4>
      </vt:variant>
      <vt:variant>
        <vt:i4>3</vt:i4>
      </vt:variant>
      <vt:variant>
        <vt:i4>0</vt:i4>
      </vt:variant>
      <vt:variant>
        <vt:i4>5</vt:i4>
      </vt:variant>
      <vt:variant>
        <vt:lpwstr>http://www.tapir.caltech.edu/~lindblom/Publications/86_PhysRevD_80_042005.pdf</vt:lpwstr>
      </vt:variant>
      <vt:variant>
        <vt:lpwstr/>
      </vt:variant>
      <vt:variant>
        <vt:i4>3932223</vt:i4>
      </vt:variant>
      <vt:variant>
        <vt:i4>0</vt:i4>
      </vt:variant>
      <vt:variant>
        <vt:i4>0</vt:i4>
      </vt:variant>
      <vt:variant>
        <vt:i4>5</vt:i4>
      </vt:variant>
      <vt:variant>
        <vt:lpwstr>https://dcc.ligo.org/cgi-bin/private/DocDB/ShowDocument?docid=39357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Coyne;jonathan.berliner;Rick Savage</dc:creator>
  <cp:lastModifiedBy>Jonathan Berliner</cp:lastModifiedBy>
  <cp:revision>93</cp:revision>
  <cp:lastPrinted>2011-12-05T23:36:00Z</cp:lastPrinted>
  <dcterms:created xsi:type="dcterms:W3CDTF">2011-08-24T21:13:00Z</dcterms:created>
  <dcterms:modified xsi:type="dcterms:W3CDTF">2011-12-16T01:31:00Z</dcterms:modified>
</cp:coreProperties>
</file>