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B036C" w:rsidRDefault="00420001" w:rsidP="007E6FCC">
      <w:pPr>
        <w:spacing w:after="0"/>
        <w:ind w:left="990" w:right="990"/>
        <w:jc w:val="center"/>
      </w:pPr>
      <w:r w:rsidRPr="00EB036C">
        <w:rPr>
          <w:b/>
          <w:sz w:val="32"/>
        </w:rPr>
        <w:t>Desig</w:t>
      </w:r>
      <w:r w:rsidR="007E6FCC">
        <w:rPr>
          <w:b/>
          <w:sz w:val="32"/>
        </w:rPr>
        <w:t xml:space="preserve">n and Testing </w:t>
      </w:r>
      <w:r w:rsidR="00EB036C" w:rsidRPr="00EB036C">
        <w:rPr>
          <w:b/>
          <w:sz w:val="32"/>
        </w:rPr>
        <w:t>of a Measurement Apparatus for the GS-13 F</w:t>
      </w:r>
      <w:r w:rsidR="00851423">
        <w:rPr>
          <w:b/>
          <w:sz w:val="32"/>
        </w:rPr>
        <w:t>lexures</w:t>
      </w:r>
      <w:r w:rsidRPr="00EB036C">
        <w:rPr>
          <w:b/>
          <w:sz w:val="32"/>
        </w:rPr>
        <w:br/>
      </w:r>
      <w:r w:rsidR="00332C8D">
        <w:t>Graham Allen</w:t>
      </w:r>
      <w:r w:rsidR="0013619E">
        <w:t>, Daniel Clark, Brian Lantz</w:t>
      </w:r>
      <w:r w:rsidR="00332C8D">
        <w:br/>
        <w:t>Stanford University</w:t>
      </w:r>
      <w:r w:rsidR="00332C8D">
        <w:br/>
      </w:r>
      <w:r w:rsidR="00332C8D" w:rsidRPr="00851423">
        <w:rPr>
          <w:b/>
        </w:rPr>
        <w:t>LIGO D</w:t>
      </w:r>
      <w:r w:rsidRPr="00851423">
        <w:rPr>
          <w:b/>
        </w:rPr>
        <w:t>CC: LIGO-T0900363-v1</w:t>
      </w:r>
    </w:p>
    <w:p w:rsidR="0013619E" w:rsidRDefault="00A90578" w:rsidP="00EB036C">
      <w:pPr>
        <w:ind w:left="720" w:right="720"/>
        <w:jc w:val="center"/>
      </w:pPr>
      <w:hyperlink r:id="rId8" w:history="1">
        <w:r w:rsidR="00EB036C" w:rsidRPr="00361987">
          <w:rPr>
            <w:rStyle w:val="Hyperlink"/>
          </w:rPr>
          <w:t>gsallen@stanford.edu</w:t>
        </w:r>
      </w:hyperlink>
    </w:p>
    <w:p w:rsidR="00851423" w:rsidRPr="00851423" w:rsidRDefault="00851423" w:rsidP="00851423">
      <w:pPr>
        <w:ind w:left="720" w:right="720"/>
        <w:rPr>
          <w:sz w:val="20"/>
          <w:szCs w:val="20"/>
        </w:rPr>
      </w:pPr>
      <w:r>
        <w:rPr>
          <w:sz w:val="20"/>
          <w:szCs w:val="20"/>
        </w:rPr>
        <w:t>This document describes a simple metrology for verification of the critical web thickness of the GS-13 replacement flexures. The flexure web thickness is required to be 4.0</w:t>
      </w:r>
      <w:r>
        <w:rPr>
          <w:rFonts w:cs="Times New Roman"/>
          <w:sz w:val="20"/>
          <w:szCs w:val="20"/>
        </w:rPr>
        <w:t xml:space="preserve">±0.5 mil. This tolerance is set by the need to maintain a 1 Hz frequency of the GS-13 seismometer, and a 20 g maximum static load. Using a precision digital indicator and a set of reference spheres to kinematically constraint the flexure, we have verified measurements of the web thickness with accuracy and repeatability exceeding 0.1 mil. </w:t>
      </w:r>
    </w:p>
    <w:p w:rsidR="00FF6ED0" w:rsidRDefault="00FF6ED0" w:rsidP="00FF6ED0">
      <w:pPr>
        <w:pStyle w:val="Heading1"/>
        <w:numPr>
          <w:ilvl w:val="0"/>
          <w:numId w:val="9"/>
        </w:numPr>
      </w:pPr>
      <w:r>
        <w:t>Necessity of measuring web thickness</w:t>
      </w:r>
    </w:p>
    <w:p w:rsidR="00A7724B" w:rsidRDefault="00A7724B" w:rsidP="00A7724B">
      <w:r>
        <w:t>The replacement flexures for the GS-13 seismometers are designed to allow the seismometer to be installed in a vacuum pod without the need of a motor to actuator the proof-mass lock of the seismometer</w:t>
      </w:r>
      <w:sdt>
        <w:sdtPr>
          <w:id w:val="141248095"/>
          <w:citation/>
        </w:sdtPr>
        <w:sdtContent>
          <w:fldSimple w:instr=" CITATION GS13Flexure \l 1033 ">
            <w:r w:rsidR="001638D5">
              <w:rPr>
                <w:noProof/>
              </w:rPr>
              <w:t xml:space="preserve"> (1)</w:t>
            </w:r>
          </w:fldSimple>
        </w:sdtContent>
      </w:sdt>
      <w:r>
        <w:t xml:space="preserve">. This considerably simplifies installation procedures and ensures </w:t>
      </w:r>
      <w:r w:rsidR="001638D5">
        <w:t>reliable</w:t>
      </w:r>
      <w:r>
        <w:t xml:space="preserve"> seismometer operation. </w:t>
      </w:r>
    </w:p>
    <w:p w:rsidR="00A7724B" w:rsidRDefault="00A7724B" w:rsidP="00A7724B">
      <w:pPr>
        <w:rPr>
          <w:rFonts w:cs="Times New Roman"/>
        </w:rPr>
      </w:pPr>
      <w:r>
        <w:t xml:space="preserve">The replacement flexures are designed to maintain </w:t>
      </w:r>
      <w:r w:rsidR="00991C5E">
        <w:t xml:space="preserve">the GS-13’s natural resonant frequency of 1 Hz while allowing the seismometer to withstand 20 g shock loads during handling and installation. Measurement of the web thickness is critical because the flexure stiffness scales as </w:t>
      </w:r>
      <w:r w:rsidR="00991C5E">
        <w:rPr>
          <w:i/>
        </w:rPr>
        <w:t>t</w:t>
      </w:r>
      <w:r w:rsidR="00991C5E">
        <w:rPr>
          <w:vertAlign w:val="superscript"/>
        </w:rPr>
        <w:t>5/2</w:t>
      </w:r>
      <w:r w:rsidR="00991C5E">
        <w:t xml:space="preserve"> where </w:t>
      </w:r>
      <w:r w:rsidR="00991C5E">
        <w:rPr>
          <w:i/>
        </w:rPr>
        <w:t xml:space="preserve">t </w:t>
      </w:r>
      <w:r w:rsidR="00991C5E">
        <w:t xml:space="preserve">is the flexure thickness. Additionally, the maximum g load is also a strong function of the web thickness.  If the web is too thick, the flexure will be too stiff, resulting in an increase natural frequency of the GS-13. If the web is too thin, the flexure may break during installation. The flexures are currently designed to have a web thickness of </w:t>
      </w:r>
      <w:r w:rsidR="001A7C16">
        <w:t>4.0 </w:t>
      </w:r>
      <w:r w:rsidR="001A7C16">
        <w:rPr>
          <w:rFonts w:cs="Times New Roman"/>
        </w:rPr>
        <w:t xml:space="preserve">± 0.5 mils. </w:t>
      </w:r>
    </w:p>
    <w:p w:rsidR="008B2D06" w:rsidRPr="008B2D06" w:rsidRDefault="008B2D06" w:rsidP="00A7724B">
      <w:r>
        <w:rPr>
          <w:rFonts w:cs="Times New Roman"/>
        </w:rPr>
        <w:t xml:space="preserve">The originally installed GS-13 flexures have a nominal stiffness of approximately </w:t>
      </w:r>
      <w:r w:rsidRPr="008B2D06">
        <w:rPr>
          <w:rFonts w:cs="Times New Roman"/>
          <w:i/>
        </w:rPr>
        <w:t>k</w:t>
      </w:r>
      <w:r w:rsidRPr="008B2D06">
        <w:rPr>
          <w:rFonts w:cs="Times New Roman"/>
          <w:i/>
          <w:vertAlign w:val="subscript"/>
        </w:rPr>
        <w:t>eff</w:t>
      </w:r>
      <w:r>
        <w:rPr>
          <w:rFonts w:cs="Times New Roman"/>
          <w:i/>
          <w:vertAlign w:val="subscript"/>
        </w:rPr>
        <w:t> </w:t>
      </w:r>
      <w:r>
        <w:rPr>
          <w:rFonts w:cs="Times New Roman"/>
        </w:rPr>
        <w:t xml:space="preserve">= 0.136 N∙m. </w:t>
      </w:r>
      <w:r w:rsidR="00131057">
        <w:rPr>
          <w:rFonts w:cs="Times New Roman"/>
        </w:rPr>
        <w:t xml:space="preserve">We have developed two techniques for measurement of the flexures. The first is an apparatus which measures the minimum web thickness using a digital indicator and a reference sphere. The second technique measures the flexure stiffness by measurement of the resonant frequency of the flexure mounting flange. </w:t>
      </w:r>
    </w:p>
    <w:p w:rsidR="00B87EF6" w:rsidRDefault="00B87EF6" w:rsidP="00102378">
      <w:pPr>
        <w:pStyle w:val="Heading1"/>
        <w:numPr>
          <w:ilvl w:val="0"/>
          <w:numId w:val="9"/>
        </w:numPr>
      </w:pPr>
      <w:r>
        <w:t>Web thickness measurement</w:t>
      </w:r>
    </w:p>
    <w:p w:rsidR="009D258E" w:rsidRDefault="009D258E">
      <w:pPr>
        <w:jc w:val="left"/>
        <w:rPr>
          <w:rFonts w:eastAsiaTheme="majorEastAsia" w:cstheme="majorBidi"/>
          <w:b/>
          <w:bCs/>
          <w:sz w:val="32"/>
          <w:szCs w:val="28"/>
        </w:rPr>
      </w:pPr>
      <w:r>
        <w:br w:type="page"/>
      </w:r>
    </w:p>
    <w:p w:rsidR="0048601D" w:rsidRDefault="0048601D" w:rsidP="00102378">
      <w:pPr>
        <w:pStyle w:val="Heading1"/>
        <w:numPr>
          <w:ilvl w:val="0"/>
          <w:numId w:val="9"/>
        </w:numPr>
      </w:pPr>
      <w:r>
        <w:lastRenderedPageBreak/>
        <w:t>Apparatus Design</w:t>
      </w:r>
    </w:p>
    <w:p w:rsidR="0048601D" w:rsidRDefault="00A90578" w:rsidP="0048601D">
      <w:r>
        <w:rPr>
          <w:noProof/>
        </w:rPr>
        <w:pict>
          <v:shapetype id="_x0000_t202" coordsize="21600,21600" o:spt="202" path="m,l,21600r21600,l21600,xe">
            <v:stroke joinstyle="miter"/>
            <v:path gradientshapeok="t" o:connecttype="rect"/>
          </v:shapetype>
          <v:shape id="_x0000_s1028" type="#_x0000_t202" style="position:absolute;left:0;text-align:left;margin-left:240.75pt;margin-top:0;width:234pt;height:261pt;z-index:-251655168" wrapcoords="-71 0 -71 21538 21600 21538 21600 0 -71 0" stroked="f">
            <v:textbox style="mso-fit-shape-to-text:t">
              <w:txbxContent>
                <w:p w:rsidR="005E5C8E" w:rsidRDefault="005E5C8E">
                  <w:r w:rsidRPr="005E5C8E">
                    <w:rPr>
                      <w:noProof/>
                    </w:rPr>
                    <w:drawing>
                      <wp:inline distT="0" distB="0" distL="0" distR="0">
                        <wp:extent cx="2722880" cy="2685960"/>
                        <wp:effectExtent l="19050" t="0" r="127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raham\Documents\RepositoryWork\LIGO\Flexure\ThicknessGauge_assem.TIF"/>
                                <pic:cNvPicPr>
                                  <a:picLocks noChangeAspect="1" noChangeArrowheads="1"/>
                                </pic:cNvPicPr>
                              </pic:nvPicPr>
                              <pic:blipFill>
                                <a:blip r:embed="rId9"/>
                                <a:srcRect l="14607" t="22433" r="23756" b="17536"/>
                                <a:stretch>
                                  <a:fillRect/>
                                </a:stretch>
                              </pic:blipFill>
                              <pic:spPr bwMode="auto">
                                <a:xfrm>
                                  <a:off x="0" y="0"/>
                                  <a:ext cx="2722880" cy="2685960"/>
                                </a:xfrm>
                                <a:prstGeom prst="rect">
                                  <a:avLst/>
                                </a:prstGeom>
                                <a:noFill/>
                                <a:ln w="9525">
                                  <a:noFill/>
                                  <a:miter lim="800000"/>
                                  <a:headEnd/>
                                  <a:tailEnd/>
                                </a:ln>
                              </pic:spPr>
                            </pic:pic>
                          </a:graphicData>
                        </a:graphic>
                      </wp:inline>
                    </w:drawing>
                  </w:r>
                </w:p>
                <w:p w:rsidR="005E5C8E" w:rsidRDefault="005E5C8E" w:rsidP="006D4B68">
                  <w:pPr>
                    <w:pStyle w:val="Caption"/>
                    <w:jc w:val="left"/>
                  </w:pPr>
                  <w:r w:rsidRPr="005E5C8E">
                    <w:rPr>
                      <w:b w:val="0"/>
                      <w:color w:val="auto"/>
                      <w:sz w:val="24"/>
                      <w:szCs w:val="24"/>
                    </w:rPr>
                    <w:t xml:space="preserve">Figure </w:t>
                  </w:r>
                  <w:r w:rsidR="00A90578" w:rsidRPr="005E5C8E">
                    <w:rPr>
                      <w:b w:val="0"/>
                      <w:color w:val="auto"/>
                      <w:sz w:val="24"/>
                      <w:szCs w:val="24"/>
                    </w:rPr>
                    <w:fldChar w:fldCharType="begin"/>
                  </w:r>
                  <w:r w:rsidRPr="005E5C8E">
                    <w:rPr>
                      <w:b w:val="0"/>
                      <w:color w:val="auto"/>
                      <w:sz w:val="24"/>
                      <w:szCs w:val="24"/>
                    </w:rPr>
                    <w:instrText xml:space="preserve"> SEQ Figure \* ARABIC </w:instrText>
                  </w:r>
                  <w:r w:rsidR="00A90578" w:rsidRPr="005E5C8E">
                    <w:rPr>
                      <w:b w:val="0"/>
                      <w:color w:val="auto"/>
                      <w:sz w:val="24"/>
                      <w:szCs w:val="24"/>
                    </w:rPr>
                    <w:fldChar w:fldCharType="separate"/>
                  </w:r>
                  <w:r w:rsidR="004A190F">
                    <w:rPr>
                      <w:b w:val="0"/>
                      <w:noProof/>
                      <w:color w:val="auto"/>
                      <w:sz w:val="24"/>
                      <w:szCs w:val="24"/>
                    </w:rPr>
                    <w:t>1</w:t>
                  </w:r>
                  <w:r w:rsidR="00A90578" w:rsidRPr="005E5C8E">
                    <w:rPr>
                      <w:b w:val="0"/>
                      <w:color w:val="auto"/>
                      <w:sz w:val="24"/>
                      <w:szCs w:val="24"/>
                    </w:rPr>
                    <w:fldChar w:fldCharType="end"/>
                  </w:r>
                  <w:r w:rsidR="006D4B68">
                    <w:rPr>
                      <w:b w:val="0"/>
                      <w:color w:val="auto"/>
                      <w:sz w:val="24"/>
                      <w:szCs w:val="24"/>
                    </w:rPr>
                    <w:t>.</w:t>
                  </w:r>
                  <w:r w:rsidRPr="005E5C8E">
                    <w:rPr>
                      <w:b w:val="0"/>
                      <w:color w:val="auto"/>
                      <w:sz w:val="24"/>
                      <w:szCs w:val="24"/>
                    </w:rPr>
                    <w:t xml:space="preserve"> SolidWorks rendering of the assembled flexure gauge.</w:t>
                  </w:r>
                </w:p>
              </w:txbxContent>
            </v:textbox>
            <w10:wrap type="tight"/>
          </v:shape>
        </w:pict>
      </w:r>
      <w:r w:rsidR="0048601D">
        <w:t xml:space="preserve">The flexure test stand is designed to directly measure the web thickness of all GS-13 flexures.  A digital dial indicator is used to measure the thickness between the surface of a precision reference sphere and the indicator tip.  </w:t>
      </w:r>
    </w:p>
    <w:p w:rsidR="0078734C" w:rsidRDefault="0078734C" w:rsidP="0048601D">
      <w:r>
        <w:t>The flexure is kinematically positioned for repeatable measurement. The measurement point is nominally located in the middle o</w:t>
      </w:r>
      <w:r w:rsidR="00B87EF6">
        <w:t xml:space="preserve">f web at a height of 0.121 in. </w:t>
      </w:r>
      <w:r>
        <w:t>The measurement height is set by height of the center point of</w:t>
      </w:r>
      <w:r w:rsidR="00B87EF6">
        <w:t xml:space="preserve"> the drilled reference sphere. </w:t>
      </w:r>
      <w:r>
        <w:t>The drilled hole used to mount the sphere via a press-fit dowel pin results in the center of the sphere sitting lower by 0.004 in.</w:t>
      </w:r>
    </w:p>
    <w:p w:rsidR="0078734C" w:rsidRDefault="00A90578" w:rsidP="0048601D">
      <w:r>
        <w:rPr>
          <w:noProof/>
        </w:rPr>
        <w:pict>
          <v:shape id="_x0000_s1029" type="#_x0000_t202" style="position:absolute;left:0;text-align:left;margin-left:239.25pt;margin-top:26.2pt;width:234pt;height:181.8pt;z-index:-251654144;v-text-anchor:middle" wrapcoords="-71 0 -71 21520 21600 21520 21600 0 -71 0" stroked="f">
            <v:textbox style="mso-fit-shape-to-text:t">
              <w:txbxContent>
                <w:p w:rsidR="004A190F" w:rsidRDefault="004A190F" w:rsidP="004A190F">
                  <w:pPr>
                    <w:pStyle w:val="Caption"/>
                  </w:pPr>
                  <w:r>
                    <w:rPr>
                      <w:noProof/>
                    </w:rPr>
                    <w:drawing>
                      <wp:inline distT="0" distB="0" distL="0" distR="0">
                        <wp:extent cx="2743200" cy="1613078"/>
                        <wp:effectExtent l="19050" t="0" r="0" b="0"/>
                        <wp:docPr id="4" name="Picture 2" descr="C:\Users\Graham\Desktop\New Folder\_MG_71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Graham\Desktop\New Folder\_MG_7133.JPG"/>
                                <pic:cNvPicPr>
                                  <a:picLocks noChangeAspect="1" noChangeArrowheads="1"/>
                                </pic:cNvPicPr>
                              </pic:nvPicPr>
                              <pic:blipFill>
                                <a:blip r:embed="rId10"/>
                                <a:srcRect/>
                                <a:stretch>
                                  <a:fillRect/>
                                </a:stretch>
                              </pic:blipFill>
                              <pic:spPr bwMode="auto">
                                <a:xfrm>
                                  <a:off x="0" y="0"/>
                                  <a:ext cx="2743200" cy="1613078"/>
                                </a:xfrm>
                                <a:prstGeom prst="rect">
                                  <a:avLst/>
                                </a:prstGeom>
                                <a:noFill/>
                                <a:ln w="9525">
                                  <a:noFill/>
                                  <a:miter lim="800000"/>
                                  <a:headEnd/>
                                  <a:tailEnd/>
                                </a:ln>
                              </pic:spPr>
                            </pic:pic>
                          </a:graphicData>
                        </a:graphic>
                      </wp:inline>
                    </w:drawing>
                  </w:r>
                </w:p>
                <w:p w:rsidR="004A190F" w:rsidRPr="006D4B68" w:rsidRDefault="004A190F" w:rsidP="006D4B68">
                  <w:pPr>
                    <w:pStyle w:val="Caption"/>
                    <w:jc w:val="left"/>
                    <w:rPr>
                      <w:b w:val="0"/>
                      <w:color w:val="auto"/>
                      <w:sz w:val="24"/>
                      <w:szCs w:val="24"/>
                    </w:rPr>
                  </w:pPr>
                  <w:r w:rsidRPr="006D4B68">
                    <w:rPr>
                      <w:b w:val="0"/>
                      <w:color w:val="auto"/>
                      <w:sz w:val="24"/>
                      <w:szCs w:val="24"/>
                    </w:rPr>
                    <w:t xml:space="preserve">Figure </w:t>
                  </w:r>
                  <w:r w:rsidR="00A90578" w:rsidRPr="006D4B68">
                    <w:rPr>
                      <w:b w:val="0"/>
                      <w:color w:val="auto"/>
                      <w:sz w:val="24"/>
                      <w:szCs w:val="24"/>
                    </w:rPr>
                    <w:fldChar w:fldCharType="begin"/>
                  </w:r>
                  <w:r w:rsidRPr="006D4B68">
                    <w:rPr>
                      <w:b w:val="0"/>
                      <w:color w:val="auto"/>
                      <w:sz w:val="24"/>
                      <w:szCs w:val="24"/>
                    </w:rPr>
                    <w:instrText xml:space="preserve"> SEQ Figure \* ARABIC </w:instrText>
                  </w:r>
                  <w:r w:rsidR="00A90578" w:rsidRPr="006D4B68">
                    <w:rPr>
                      <w:b w:val="0"/>
                      <w:color w:val="auto"/>
                      <w:sz w:val="24"/>
                      <w:szCs w:val="24"/>
                    </w:rPr>
                    <w:fldChar w:fldCharType="separate"/>
                  </w:r>
                  <w:r w:rsidRPr="006D4B68">
                    <w:rPr>
                      <w:b w:val="0"/>
                      <w:noProof/>
                      <w:color w:val="auto"/>
                      <w:sz w:val="24"/>
                      <w:szCs w:val="24"/>
                    </w:rPr>
                    <w:t>2</w:t>
                  </w:r>
                  <w:r w:rsidR="00A90578" w:rsidRPr="006D4B68">
                    <w:rPr>
                      <w:b w:val="0"/>
                      <w:color w:val="auto"/>
                      <w:sz w:val="24"/>
                      <w:szCs w:val="24"/>
                    </w:rPr>
                    <w:fldChar w:fldCharType="end"/>
                  </w:r>
                  <w:r w:rsidR="006D4B68">
                    <w:rPr>
                      <w:b w:val="0"/>
                      <w:color w:val="auto"/>
                      <w:sz w:val="24"/>
                      <w:szCs w:val="24"/>
                    </w:rPr>
                    <w:t>.</w:t>
                  </w:r>
                  <w:r w:rsidRPr="006D4B68">
                    <w:rPr>
                      <w:b w:val="0"/>
                      <w:color w:val="auto"/>
                      <w:sz w:val="24"/>
                      <w:szCs w:val="24"/>
                    </w:rPr>
                    <w:t xml:space="preserve"> Picture of the machined flexure gauge before installation of digital indicator.</w:t>
                  </w:r>
                </w:p>
              </w:txbxContent>
            </v:textbox>
            <w10:wrap type="tight"/>
          </v:shape>
        </w:pict>
      </w:r>
      <w:r w:rsidR="0078734C">
        <w:t xml:space="preserve">The flexure is kinematically located by </w:t>
      </w:r>
      <w:r w:rsidR="00A2031C">
        <w:t>two spheres.</w:t>
      </w:r>
      <w:r w:rsidR="0078734C">
        <w:t xml:space="preserve"> One </w:t>
      </w:r>
      <w:r w:rsidR="00A2031C">
        <w:t xml:space="preserve">locating </w:t>
      </w:r>
      <w:r w:rsidR="0078734C">
        <w:t>sphere sets the location of flexu</w:t>
      </w:r>
      <w:r w:rsidR="0013619E">
        <w:t>re axis and is used</w:t>
      </w:r>
      <w:r w:rsidR="00B87EF6">
        <w:t xml:space="preserve"> to hold the flexure in place. </w:t>
      </w:r>
      <w:r w:rsidR="0013619E">
        <w:t xml:space="preserve">A spring loaded set screw is used to hold the flexure </w:t>
      </w:r>
      <w:r w:rsidR="00B87EF6">
        <w:t xml:space="preserve">against this </w:t>
      </w:r>
      <w:r w:rsidR="00A2031C">
        <w:t>locating</w:t>
      </w:r>
      <w:r w:rsidR="00B87EF6">
        <w:t xml:space="preserve"> sphere. </w:t>
      </w:r>
      <w:r w:rsidR="006B2727">
        <w:t xml:space="preserve">The spring pin depth </w:t>
      </w:r>
      <w:r w:rsidR="008B2D06">
        <w:t xml:space="preserve">is set </w:t>
      </w:r>
      <w:r w:rsidR="006B2727">
        <w:t xml:space="preserve">so that the flexure fits snugly, but can still be easily inserted and removed. </w:t>
      </w:r>
      <w:r w:rsidR="0013619E">
        <w:t xml:space="preserve">The main reference sphere is positioned directly in </w:t>
      </w:r>
      <w:r w:rsidR="00B87EF6">
        <w:t xml:space="preserve">the center of the flexure web. </w:t>
      </w:r>
      <w:r w:rsidR="0013619E">
        <w:t xml:space="preserve">The indicator is mounted in a co-aligned v-groove so that the flexure is measured at its minimum thickness point. </w:t>
      </w:r>
      <w:r w:rsidR="008B2D06">
        <w:t xml:space="preserve">The location of the minimum flexure is obtained by manually sliding the flexure until the digital indicator </w:t>
      </w:r>
      <w:r w:rsidR="00B87EF6">
        <w:t>readout is minimized.</w:t>
      </w:r>
    </w:p>
    <w:p w:rsidR="0078734C" w:rsidRDefault="0078734C" w:rsidP="0048601D">
      <w:r>
        <w:t>All of the kinematic features are mounted using 1/16 in dowel pins, drilled and reamed in a single pass. Machining these features with a common tool and mounting configuration minimizes possible relative errors between the reference features, ensuring a precise setup.</w:t>
      </w:r>
      <w:r w:rsidR="00FE7200">
        <w:t xml:space="preserve"> The locating spher</w:t>
      </w:r>
      <w:r w:rsidR="00A2031C">
        <w:t>es are epoxied to the dowel pin</w:t>
      </w:r>
      <w:r w:rsidR="00FE7200">
        <w:t xml:space="preserve"> and the dowel pin is epoxied into the hole. This prevents the spheres from rotating and eliminates any possible wobble in the locating spheres. </w:t>
      </w:r>
    </w:p>
    <w:p w:rsidR="00842252" w:rsidRDefault="00102378" w:rsidP="00F5753A">
      <w:pPr>
        <w:pStyle w:val="Heading1"/>
        <w:numPr>
          <w:ilvl w:val="0"/>
          <w:numId w:val="9"/>
        </w:numPr>
      </w:pPr>
      <w:r>
        <w:lastRenderedPageBreak/>
        <w:t xml:space="preserve">  </w:t>
      </w:r>
      <w:r w:rsidR="00842252">
        <w:t>Measurement procedure:</w:t>
      </w:r>
    </w:p>
    <w:p w:rsidR="00842252" w:rsidRDefault="00842252" w:rsidP="00102378">
      <w:pPr>
        <w:pStyle w:val="Heading3"/>
        <w:numPr>
          <w:ilvl w:val="2"/>
          <w:numId w:val="9"/>
        </w:numPr>
      </w:pPr>
      <w:r>
        <w:t>Calibration of gauge accuracy.</w:t>
      </w:r>
    </w:p>
    <w:p w:rsidR="00842252" w:rsidRDefault="00842252" w:rsidP="00842252">
      <w:pPr>
        <w:pStyle w:val="ListParagraph"/>
        <w:numPr>
          <w:ilvl w:val="0"/>
          <w:numId w:val="2"/>
        </w:numPr>
      </w:pPr>
      <w:r>
        <w:t>Turn on digital indicator.  With nothing in the flexure allow the indicator to touch the reference sphere.  Record the absolute indicator reading.</w:t>
      </w:r>
    </w:p>
    <w:p w:rsidR="00842252" w:rsidRDefault="00842252" w:rsidP="00842252">
      <w:pPr>
        <w:pStyle w:val="ListParagraph"/>
        <w:numPr>
          <w:ilvl w:val="0"/>
          <w:numId w:val="2"/>
        </w:numPr>
      </w:pPr>
      <w:r>
        <w:t>Zero the indicator.</w:t>
      </w:r>
    </w:p>
    <w:p w:rsidR="00842252" w:rsidRDefault="00842252" w:rsidP="00842252">
      <w:pPr>
        <w:pStyle w:val="ListParagraph"/>
        <w:numPr>
          <w:ilvl w:val="0"/>
          <w:numId w:val="2"/>
        </w:numPr>
      </w:pPr>
      <w:r>
        <w:t>Insert 0.1000</w:t>
      </w:r>
      <w:r w:rsidR="00023AA5">
        <w:t> </w:t>
      </w:r>
      <w:r>
        <w:t xml:space="preserve">in precision gauge block. </w:t>
      </w:r>
    </w:p>
    <w:p w:rsidR="00842252" w:rsidRDefault="00842252" w:rsidP="00842252">
      <w:pPr>
        <w:pStyle w:val="ListParagraph"/>
        <w:numPr>
          <w:ilvl w:val="0"/>
          <w:numId w:val="2"/>
        </w:numPr>
      </w:pPr>
      <w:r>
        <w:t xml:space="preserve">Verify that indicator reads 0.1000±.0001 in as the thickness of the gauge block. </w:t>
      </w:r>
    </w:p>
    <w:p w:rsidR="00842252" w:rsidRDefault="006B2727" w:rsidP="006B2727">
      <w:pPr>
        <w:pStyle w:val="ListParagraph"/>
      </w:pPr>
      <w:r>
        <w:t>Record the indicator reading.</w:t>
      </w:r>
    </w:p>
    <w:p w:rsidR="00842252" w:rsidRDefault="006B2727" w:rsidP="00102378">
      <w:pPr>
        <w:pStyle w:val="Heading3"/>
        <w:numPr>
          <w:ilvl w:val="2"/>
          <w:numId w:val="9"/>
        </w:numPr>
      </w:pPr>
      <w:r>
        <w:t>Measuring flexures:</w:t>
      </w:r>
    </w:p>
    <w:p w:rsidR="00842252" w:rsidRDefault="00842252" w:rsidP="006B2727">
      <w:pPr>
        <w:pStyle w:val="ListParagraph"/>
        <w:numPr>
          <w:ilvl w:val="0"/>
          <w:numId w:val="3"/>
        </w:numPr>
      </w:pPr>
      <w:r>
        <w:t>Record flexure serial number, indicate if a top or bottom flexure.</w:t>
      </w:r>
    </w:p>
    <w:p w:rsidR="00023AA5" w:rsidRDefault="00023AA5" w:rsidP="00023AA5">
      <w:pPr>
        <w:pStyle w:val="ListParagraph"/>
        <w:numPr>
          <w:ilvl w:val="0"/>
          <w:numId w:val="3"/>
        </w:numPr>
        <w:jc w:val="left"/>
      </w:pPr>
      <w:r>
        <w:t xml:space="preserve">Insert flexure into gauge, slide flexure laterally until minimum indicator reaches a minimum. </w:t>
      </w:r>
    </w:p>
    <w:p w:rsidR="00023AA5" w:rsidRDefault="00023AA5" w:rsidP="00023AA5">
      <w:pPr>
        <w:pStyle w:val="ListParagraph"/>
        <w:numPr>
          <w:ilvl w:val="0"/>
          <w:numId w:val="3"/>
        </w:numPr>
        <w:jc w:val="left"/>
      </w:pPr>
      <w:r>
        <w:t xml:space="preserve">Reverse flexure to measure thickness of second web. </w:t>
      </w:r>
    </w:p>
    <w:p w:rsidR="006B2727" w:rsidRDefault="006B2727" w:rsidP="00102378">
      <w:pPr>
        <w:pStyle w:val="Heading3"/>
        <w:numPr>
          <w:ilvl w:val="2"/>
          <w:numId w:val="9"/>
        </w:numPr>
      </w:pPr>
      <w:r>
        <w:t>After measuring a set of flexures:</w:t>
      </w:r>
    </w:p>
    <w:p w:rsidR="006B2727" w:rsidRDefault="000550AB" w:rsidP="006B2727">
      <w:pPr>
        <w:pStyle w:val="ListParagraph"/>
        <w:numPr>
          <w:ilvl w:val="0"/>
          <w:numId w:val="4"/>
        </w:numPr>
      </w:pPr>
      <w:r>
        <w:t>Insert 0.1000 </w:t>
      </w:r>
      <w:r w:rsidR="006B2727">
        <w:t>in precision gauge block.</w:t>
      </w:r>
    </w:p>
    <w:p w:rsidR="006B2727" w:rsidRDefault="006B2727" w:rsidP="006B2727">
      <w:pPr>
        <w:pStyle w:val="ListParagraph"/>
        <w:numPr>
          <w:ilvl w:val="0"/>
          <w:numId w:val="4"/>
        </w:numPr>
      </w:pPr>
      <w:r>
        <w:t>Record measurement of gauge block thickness.</w:t>
      </w:r>
    </w:p>
    <w:p w:rsidR="006B2727" w:rsidRDefault="006B2727" w:rsidP="006B2727">
      <w:pPr>
        <w:pStyle w:val="ListParagraph"/>
        <w:numPr>
          <w:ilvl w:val="0"/>
          <w:numId w:val="4"/>
        </w:numPr>
      </w:pPr>
      <w:r>
        <w:t>If measured gauge block thickness varies from previous result by more than ±0.0001 in flag all flexures to be re-measured.</w:t>
      </w:r>
    </w:p>
    <w:p w:rsidR="006B2727" w:rsidRDefault="00BC4148" w:rsidP="00F5753A">
      <w:pPr>
        <w:pStyle w:val="Heading1"/>
        <w:numPr>
          <w:ilvl w:val="0"/>
          <w:numId w:val="9"/>
        </w:numPr>
      </w:pPr>
      <w:r>
        <w:t>Accuracy analysis and error stack-up:</w:t>
      </w:r>
    </w:p>
    <w:p w:rsidR="00BC4148" w:rsidRDefault="008B2D06" w:rsidP="00E33D92">
      <w:pPr>
        <w:pStyle w:val="Heading2"/>
        <w:numPr>
          <w:ilvl w:val="1"/>
          <w:numId w:val="9"/>
        </w:numPr>
      </w:pPr>
      <w:r>
        <w:t xml:space="preserve">  </w:t>
      </w:r>
      <w:r w:rsidR="00BC4148">
        <w:t>Error in locating minimum web location</w:t>
      </w:r>
    </w:p>
    <w:p w:rsidR="00FF6ED0" w:rsidRPr="00FF6ED0" w:rsidRDefault="00FF6ED0" w:rsidP="00FF6ED0">
      <w:r>
        <w:t xml:space="preserve">The minimum thickness of the flexure needs to be located within </w:t>
      </w:r>
      <w:r>
        <w:rPr>
          <w:rFonts w:cs="Times New Roman"/>
        </w:rPr>
        <w:t>±</w:t>
      </w:r>
      <w:r>
        <w:t xml:space="preserve">0.002 in. This is accomplished by manually sliding the flexure laterally until the indicated thickness is minimized. A future version of the flexure tester could incorporate adjustment via screw or lever. </w:t>
      </w:r>
    </w:p>
    <w:p w:rsidR="00FF6ED0" w:rsidRDefault="00FF6ED0" w:rsidP="00E33D92">
      <w:pPr>
        <w:pStyle w:val="Heading2"/>
        <w:numPr>
          <w:ilvl w:val="1"/>
          <w:numId w:val="9"/>
        </w:numPr>
      </w:pPr>
      <w:r>
        <w:t xml:space="preserve"> </w:t>
      </w:r>
      <w:r w:rsidR="008B2D06">
        <w:t xml:space="preserve"> </w:t>
      </w:r>
      <w:r>
        <w:t>Geometric offsets</w:t>
      </w:r>
    </w:p>
    <w:p w:rsidR="00FF6ED0" w:rsidRDefault="000D77B9" w:rsidP="000D77B9">
      <w:r>
        <w:t xml:space="preserve">Geometric offsets between the reference ball and the axis of the digital indicator will </w:t>
      </w:r>
      <w:r w:rsidR="0080708B">
        <w:t>cause two sources of error. The zero is artificially set negative, resulting in an indicated thickness which greater than the actual thickness.  The second error source is due to the curvature of the flexure web. This will also cause a measured increase in the flexure thickness.</w:t>
      </w:r>
    </w:p>
    <w:p w:rsidR="003B74DA" w:rsidRDefault="008B2D06" w:rsidP="00E33D92">
      <w:pPr>
        <w:pStyle w:val="Heading2"/>
        <w:numPr>
          <w:ilvl w:val="1"/>
          <w:numId w:val="9"/>
        </w:numPr>
      </w:pPr>
      <w:r>
        <w:t xml:space="preserve">  </w:t>
      </w:r>
      <w:r w:rsidR="003B74DA">
        <w:t>Indicator accuracy</w:t>
      </w:r>
    </w:p>
    <w:p w:rsidR="003B74DA" w:rsidRPr="0091262D" w:rsidRDefault="0091262D" w:rsidP="006B2727">
      <w:r>
        <w:t xml:space="preserve">The Mitutoyo digital dial indicator has a stated accuracy of </w:t>
      </w:r>
      <w:r w:rsidR="00FF6ED0">
        <w:rPr>
          <w:rFonts w:cs="Times New Roman"/>
        </w:rPr>
        <w:t>±0</w:t>
      </w:r>
      <w:r>
        <w:t>.0001 in over its full range of motion. The indicator readout increment is 5</w:t>
      </w:r>
      <w:r>
        <w:rPr>
          <w:rFonts w:ascii="Gulim" w:eastAsia="Gulim" w:hAnsi="Gulim" w:hint="eastAsia"/>
        </w:rPr>
        <w:t>×</w:t>
      </w:r>
      <w:r>
        <w:t>10</w:t>
      </w:r>
      <w:r>
        <w:rPr>
          <w:vertAlign w:val="superscript"/>
        </w:rPr>
        <w:t>-5</w:t>
      </w:r>
      <w:r>
        <w:t xml:space="preserve"> in, which is less than the stated indicator accuracy.  The extra half-digit of precision should be recorded, despite it being at the limits of indicator accuracy. </w:t>
      </w:r>
    </w:p>
    <w:p w:rsidR="00BC4148" w:rsidRDefault="008B2D06" w:rsidP="00E33D92">
      <w:pPr>
        <w:pStyle w:val="Heading2"/>
        <w:numPr>
          <w:ilvl w:val="1"/>
          <w:numId w:val="9"/>
        </w:numPr>
      </w:pPr>
      <w:r>
        <w:lastRenderedPageBreak/>
        <w:t xml:space="preserve">  </w:t>
      </w:r>
      <w:r w:rsidR="00BC4148">
        <w:t>Zero point set error:</w:t>
      </w:r>
    </w:p>
    <w:p w:rsidR="00BC4148" w:rsidRDefault="00BC4148" w:rsidP="006B2727">
      <w:r>
        <w:t>Offset between the measurement tip of the indicator and the reference result in a zero point that is slightly negative when compared with reference point if a zero thickness plane were measured. This results in a flexure thickness rea</w:t>
      </w:r>
      <w:r w:rsidR="00A2031C">
        <w:t xml:space="preserve">ding which is erroneously high. </w:t>
      </w:r>
      <w:r>
        <w:t xml:space="preserve">Errors in zero point are common to all measured surfaces, so a calibrated gauge block can be used to eliminate error in the zero point. It is desirable to minimize error in the zero point but not required. </w:t>
      </w:r>
    </w:p>
    <w:p w:rsidR="00FC65FF" w:rsidRDefault="00FC65FF" w:rsidP="00FC65FF">
      <w:pPr>
        <w:pStyle w:val="Heading2"/>
        <w:numPr>
          <w:ilvl w:val="1"/>
          <w:numId w:val="9"/>
        </w:numPr>
      </w:pPr>
      <w:r>
        <w:t xml:space="preserve">   Repeatability</w:t>
      </w:r>
    </w:p>
    <w:p w:rsidR="00FC65FF" w:rsidRDefault="00FC65FF" w:rsidP="00FC65FF">
      <w:r>
        <w:t xml:space="preserve">Repeatability was measured by systematically measuring several different reference objects. A set of shims of varying thickness was measured five times. Each shim in the set was measured in sequence, and the then standard deviation for each shim was compared.  Then shims were then measured by micrometer to verify the thickness. </w:t>
      </w:r>
    </w:p>
    <w:p w:rsidR="00FC65FF" w:rsidRDefault="00FC65FF" w:rsidP="00FC65FF">
      <w:pPr>
        <w:pStyle w:val="Heading2"/>
        <w:numPr>
          <w:ilvl w:val="1"/>
          <w:numId w:val="9"/>
        </w:numPr>
      </w:pPr>
      <w:r>
        <w:t xml:space="preserve">  Accuracy</w:t>
      </w:r>
    </w:p>
    <w:p w:rsidR="00FC65FF" w:rsidRDefault="00FC65FF" w:rsidP="00FC65FF">
      <w:r>
        <w:t xml:space="preserve">Accuracy of the flexure tester was measured by comparing the measured thickness with a set of gage blocks. Five gage blocks were measured with an accuracy of +6e-5 </w:t>
      </w:r>
      <w:r>
        <w:rPr>
          <w:rFonts w:cs="Times New Roman"/>
        </w:rPr>
        <w:t>±</w:t>
      </w:r>
      <w:r>
        <w:t xml:space="preserve"> 3e-5 in. The flexure tester tends to overestimate the thickness due to an improperly set zero point. </w:t>
      </w:r>
    </w:p>
    <w:p w:rsidR="00FC65FF" w:rsidRDefault="00FC65FF" w:rsidP="00FC65FF">
      <w:pPr>
        <w:pStyle w:val="Heading2"/>
        <w:numPr>
          <w:ilvl w:val="1"/>
          <w:numId w:val="9"/>
        </w:numPr>
      </w:pPr>
      <w:r>
        <w:t xml:space="preserve">  Summary of fixture testing</w:t>
      </w:r>
    </w:p>
    <w:tbl>
      <w:tblPr>
        <w:tblStyle w:val="TableGrid"/>
        <w:tblW w:w="0" w:type="auto"/>
        <w:jc w:val="center"/>
        <w:tblLook w:val="04A0"/>
      </w:tblPr>
      <w:tblGrid>
        <w:gridCol w:w="2160"/>
        <w:gridCol w:w="1686"/>
        <w:gridCol w:w="2094"/>
      </w:tblGrid>
      <w:tr w:rsidR="00FC65FF" w:rsidRPr="003546DF" w:rsidTr="00FC65FF">
        <w:trPr>
          <w:cantSplit/>
          <w:jc w:val="center"/>
        </w:trPr>
        <w:tc>
          <w:tcPr>
            <w:tcW w:w="2160" w:type="dxa"/>
            <w:vAlign w:val="center"/>
          </w:tcPr>
          <w:p w:rsidR="00FC65FF" w:rsidRPr="003546DF" w:rsidRDefault="00FC65FF" w:rsidP="00C17B84">
            <w:pPr>
              <w:jc w:val="center"/>
              <w:rPr>
                <w:b/>
              </w:rPr>
            </w:pPr>
            <w:r w:rsidRPr="003546DF">
              <w:rPr>
                <w:b/>
              </w:rPr>
              <w:t>Parameter</w:t>
            </w:r>
          </w:p>
        </w:tc>
        <w:tc>
          <w:tcPr>
            <w:tcW w:w="1686" w:type="dxa"/>
            <w:vAlign w:val="center"/>
          </w:tcPr>
          <w:p w:rsidR="00FC65FF" w:rsidRPr="003546DF" w:rsidRDefault="00FC65FF" w:rsidP="00C17B84">
            <w:pPr>
              <w:jc w:val="center"/>
              <w:rPr>
                <w:rFonts w:cs="Times New Roman"/>
                <w:b/>
              </w:rPr>
            </w:pPr>
            <w:r w:rsidRPr="003546DF">
              <w:rPr>
                <w:rFonts w:cs="Times New Roman"/>
                <w:b/>
              </w:rPr>
              <w:t>Specification</w:t>
            </w:r>
          </w:p>
          <w:p w:rsidR="00FC65FF" w:rsidRPr="003546DF" w:rsidRDefault="00FC65FF" w:rsidP="00C17B84">
            <w:pPr>
              <w:jc w:val="center"/>
              <w:rPr>
                <w:rFonts w:cs="Times New Roman"/>
              </w:rPr>
            </w:pPr>
            <w:r w:rsidRPr="003546DF">
              <w:rPr>
                <w:rFonts w:cs="Times New Roman"/>
              </w:rPr>
              <w:t>(10</w:t>
            </w:r>
            <w:r w:rsidRPr="003546DF">
              <w:rPr>
                <w:rFonts w:cs="Times New Roman"/>
                <w:vertAlign w:val="superscript"/>
              </w:rPr>
              <w:t>-3</w:t>
            </w:r>
            <w:r w:rsidRPr="003546DF">
              <w:rPr>
                <w:rFonts w:cs="Times New Roman"/>
              </w:rPr>
              <w:t xml:space="preserve"> in = 1 mil)</w:t>
            </w:r>
          </w:p>
        </w:tc>
        <w:tc>
          <w:tcPr>
            <w:tcW w:w="2094" w:type="dxa"/>
            <w:vAlign w:val="center"/>
          </w:tcPr>
          <w:p w:rsidR="00FC65FF" w:rsidRPr="003546DF" w:rsidRDefault="00FC65FF" w:rsidP="00C17B84">
            <w:pPr>
              <w:jc w:val="center"/>
              <w:rPr>
                <w:b/>
              </w:rPr>
            </w:pPr>
            <w:r w:rsidRPr="003546DF">
              <w:rPr>
                <w:b/>
              </w:rPr>
              <w:t>Actual</w:t>
            </w:r>
          </w:p>
          <w:p w:rsidR="00FC65FF" w:rsidRPr="003546DF" w:rsidRDefault="00FC65FF" w:rsidP="00C17B84">
            <w:pPr>
              <w:jc w:val="center"/>
            </w:pPr>
            <w:r w:rsidRPr="003546DF">
              <w:t>(</w:t>
            </w:r>
            <w:r w:rsidRPr="003546DF">
              <w:rPr>
                <w:rFonts w:cs="Times New Roman"/>
              </w:rPr>
              <w:t>10</w:t>
            </w:r>
            <w:r w:rsidRPr="003546DF">
              <w:rPr>
                <w:rFonts w:cs="Times New Roman"/>
                <w:vertAlign w:val="superscript"/>
              </w:rPr>
              <w:t>-3</w:t>
            </w:r>
            <w:r w:rsidRPr="003546DF">
              <w:rPr>
                <w:rFonts w:cs="Times New Roman"/>
              </w:rPr>
              <w:t xml:space="preserve"> in = 1 mil</w:t>
            </w:r>
            <w:r w:rsidRPr="003546DF">
              <w:t>)</w:t>
            </w:r>
          </w:p>
        </w:tc>
      </w:tr>
      <w:tr w:rsidR="00FC65FF" w:rsidTr="00FC65FF">
        <w:trPr>
          <w:cantSplit/>
          <w:jc w:val="center"/>
        </w:trPr>
        <w:tc>
          <w:tcPr>
            <w:tcW w:w="2160" w:type="dxa"/>
          </w:tcPr>
          <w:p w:rsidR="00FC65FF" w:rsidRDefault="00FC65FF" w:rsidP="00C17B84">
            <w:r>
              <w:t>Accuracy</w:t>
            </w:r>
          </w:p>
        </w:tc>
        <w:tc>
          <w:tcPr>
            <w:tcW w:w="1686" w:type="dxa"/>
            <w:vAlign w:val="center"/>
          </w:tcPr>
          <w:p w:rsidR="00FC65FF" w:rsidRDefault="00FC65FF" w:rsidP="00C17B84">
            <w:pPr>
              <w:jc w:val="center"/>
            </w:pPr>
            <w:r>
              <w:rPr>
                <w:rFonts w:cs="Times New Roman"/>
              </w:rPr>
              <w:t>±</w:t>
            </w:r>
            <w:r>
              <w:t>0.1</w:t>
            </w:r>
          </w:p>
        </w:tc>
        <w:tc>
          <w:tcPr>
            <w:tcW w:w="2094" w:type="dxa"/>
            <w:vAlign w:val="center"/>
          </w:tcPr>
          <w:p w:rsidR="00FC65FF" w:rsidRDefault="00FC65FF" w:rsidP="00C17B84">
            <w:pPr>
              <w:jc w:val="center"/>
            </w:pPr>
            <w:r>
              <w:t>+0.1,-0.0</w:t>
            </w:r>
          </w:p>
        </w:tc>
      </w:tr>
      <w:tr w:rsidR="00FC65FF" w:rsidTr="00FC65FF">
        <w:trPr>
          <w:cantSplit/>
          <w:jc w:val="center"/>
        </w:trPr>
        <w:tc>
          <w:tcPr>
            <w:tcW w:w="2160" w:type="dxa"/>
          </w:tcPr>
          <w:p w:rsidR="00FC65FF" w:rsidRDefault="00FC65FF" w:rsidP="00C17B84">
            <w:r>
              <w:t>Zero Point</w:t>
            </w:r>
          </w:p>
        </w:tc>
        <w:tc>
          <w:tcPr>
            <w:tcW w:w="1686" w:type="dxa"/>
            <w:vAlign w:val="center"/>
          </w:tcPr>
          <w:p w:rsidR="00FC65FF" w:rsidRDefault="00FC65FF" w:rsidP="00C17B84">
            <w:pPr>
              <w:jc w:val="center"/>
            </w:pPr>
            <w:r>
              <w:rPr>
                <w:rFonts w:cs="Times New Roman"/>
              </w:rPr>
              <w:t xml:space="preserve">&lt; </w:t>
            </w:r>
            <w:r>
              <w:t>0.1</w:t>
            </w:r>
          </w:p>
        </w:tc>
        <w:tc>
          <w:tcPr>
            <w:tcW w:w="2094" w:type="dxa"/>
            <w:vAlign w:val="center"/>
          </w:tcPr>
          <w:p w:rsidR="00FC65FF" w:rsidRDefault="00FC65FF" w:rsidP="00C17B84">
            <w:pPr>
              <w:jc w:val="center"/>
            </w:pPr>
            <w:r>
              <w:t>0.06</w:t>
            </w:r>
            <w:r>
              <w:rPr>
                <w:rFonts w:cs="Times New Roman"/>
              </w:rPr>
              <w:t>±0</w:t>
            </w:r>
            <w:r>
              <w:t>.03</w:t>
            </w:r>
          </w:p>
        </w:tc>
      </w:tr>
      <w:tr w:rsidR="00FC65FF" w:rsidTr="00FC65FF">
        <w:trPr>
          <w:cantSplit/>
          <w:jc w:val="center"/>
        </w:trPr>
        <w:tc>
          <w:tcPr>
            <w:tcW w:w="2160" w:type="dxa"/>
          </w:tcPr>
          <w:p w:rsidR="00FC65FF" w:rsidRDefault="00FC65FF" w:rsidP="00C17B84">
            <w:r>
              <w:t>Repeatability</w:t>
            </w:r>
            <w:r>
              <w:rPr>
                <w:rStyle w:val="FootnoteReference"/>
              </w:rPr>
              <w:footnoteReference w:id="1"/>
            </w:r>
          </w:p>
        </w:tc>
        <w:tc>
          <w:tcPr>
            <w:tcW w:w="1686" w:type="dxa"/>
            <w:vAlign w:val="center"/>
          </w:tcPr>
          <w:p w:rsidR="00FC65FF" w:rsidRDefault="00FC65FF" w:rsidP="00C17B84">
            <w:pPr>
              <w:jc w:val="center"/>
            </w:pPr>
            <w:r>
              <w:rPr>
                <w:rFonts w:cs="Times New Roman"/>
              </w:rPr>
              <w:t>±</w:t>
            </w:r>
            <w:r>
              <w:t>0.1</w:t>
            </w:r>
          </w:p>
        </w:tc>
        <w:tc>
          <w:tcPr>
            <w:tcW w:w="2094" w:type="dxa"/>
            <w:vAlign w:val="center"/>
          </w:tcPr>
          <w:p w:rsidR="00FC65FF" w:rsidRDefault="00FC65FF" w:rsidP="00C17B84">
            <w:pPr>
              <w:jc w:val="center"/>
            </w:pPr>
            <w:r>
              <w:rPr>
                <w:rFonts w:cs="Times New Roman"/>
              </w:rPr>
              <w:t>±</w:t>
            </w:r>
            <w:r w:rsidR="007E6FCC">
              <w:rPr>
                <w:rFonts w:cs="Times New Roman"/>
              </w:rPr>
              <w:t>0</w:t>
            </w:r>
            <w:r>
              <w:t>.05</w:t>
            </w:r>
          </w:p>
        </w:tc>
      </w:tr>
      <w:tr w:rsidR="00FC65FF" w:rsidTr="00FC65FF">
        <w:trPr>
          <w:cantSplit/>
          <w:jc w:val="center"/>
        </w:trPr>
        <w:tc>
          <w:tcPr>
            <w:tcW w:w="2160" w:type="dxa"/>
          </w:tcPr>
          <w:p w:rsidR="00FC65FF" w:rsidRDefault="00FC65FF" w:rsidP="00C17B84">
            <w:r>
              <w:t>Maximum Variation</w:t>
            </w:r>
            <w:r>
              <w:rPr>
                <w:rStyle w:val="FootnoteReference"/>
              </w:rPr>
              <w:footnoteReference w:id="2"/>
            </w:r>
          </w:p>
        </w:tc>
        <w:tc>
          <w:tcPr>
            <w:tcW w:w="1686" w:type="dxa"/>
            <w:vAlign w:val="center"/>
          </w:tcPr>
          <w:p w:rsidR="00FC65FF" w:rsidRDefault="00FC65FF" w:rsidP="00C17B84">
            <w:pPr>
              <w:jc w:val="center"/>
            </w:pPr>
          </w:p>
        </w:tc>
        <w:tc>
          <w:tcPr>
            <w:tcW w:w="2094" w:type="dxa"/>
            <w:vAlign w:val="center"/>
          </w:tcPr>
          <w:p w:rsidR="00FC65FF" w:rsidRDefault="00FC65FF" w:rsidP="00C17B84">
            <w:pPr>
              <w:jc w:val="center"/>
            </w:pPr>
            <w:r>
              <w:t>0.15</w:t>
            </w:r>
          </w:p>
        </w:tc>
      </w:tr>
    </w:tbl>
    <w:p w:rsidR="00FC65FF" w:rsidRDefault="00FC65FF" w:rsidP="00FC65FF"/>
    <w:p w:rsidR="00F21F0A" w:rsidRDefault="00F21F0A" w:rsidP="00F21F0A">
      <w:pPr>
        <w:pStyle w:val="Heading1"/>
        <w:numPr>
          <w:ilvl w:val="0"/>
          <w:numId w:val="9"/>
        </w:numPr>
      </w:pPr>
      <w:r>
        <w:t>Uneven flexure web</w:t>
      </w:r>
      <w:r w:rsidR="000E2C60">
        <w:t xml:space="preserve"> thickness</w:t>
      </w:r>
    </w:p>
    <w:p w:rsidR="00BD3457" w:rsidRDefault="001638D5" w:rsidP="00F21F0A">
      <w:r>
        <w:t xml:space="preserve">Measurements of the prototype flexures </w:t>
      </w:r>
      <w:r w:rsidR="00BD3457">
        <w:t>machined by D. Clark showed that the some of the flexure web were extremely uneven. This was further verified by direct measurement with a coordinate measure machine (CMM). The radius of both sides of the flexure was recorded by the CMM and the cloud of touch points exported directly to MATLAB.  Within MATLAB the web thickness was calculated as a function of the height along the flexure by fitting the cloud of points to an angled cylinder.</w:t>
      </w:r>
    </w:p>
    <w:p w:rsidR="00F21F0A" w:rsidRPr="00F21F0A" w:rsidRDefault="00BD3457" w:rsidP="00F21F0A">
      <w:r>
        <w:t>In the case of the long web of flexure #1, the calculated thickness varied between 2.9 mil and 5 mil, a range of 2.1 mil, which greatly exceeds the toleranc</w:t>
      </w:r>
      <w:r w:rsidR="00A72BBB">
        <w:t xml:space="preserve">e </w:t>
      </w:r>
      <w:r>
        <w:t xml:space="preserve">for the flexure. </w:t>
      </w:r>
      <w:r w:rsidR="000E2C60">
        <w:t>The geometric model used to calculate the thickness assumes a constant cylinder radius and a small angle to</w:t>
      </w:r>
      <w:r w:rsidR="00A72BBB">
        <w:t xml:space="preserve"> the</w:t>
      </w:r>
      <w:r w:rsidR="000E2C60">
        <w:t xml:space="preserve"> </w:t>
      </w:r>
      <w:r w:rsidR="000E2C60">
        <w:lastRenderedPageBreak/>
        <w:t xml:space="preserve">vertical. In cases where the flexure web shows large variations a simple one point measurement may not be sufficient to accept or reject a flexure. </w:t>
      </w:r>
    </w:p>
    <w:p w:rsidR="000E2C60" w:rsidRDefault="000E2C60" w:rsidP="000E2C60">
      <w:pPr>
        <w:pStyle w:val="Heading1"/>
        <w:numPr>
          <w:ilvl w:val="0"/>
          <w:numId w:val="9"/>
        </w:numPr>
      </w:pPr>
      <w:r>
        <w:t>Direct measurement of flexure stiffness</w:t>
      </w:r>
    </w:p>
    <w:p w:rsidR="000E2C60" w:rsidRDefault="0006433E" w:rsidP="0006433E">
      <w:pPr>
        <w:pStyle w:val="Heading2"/>
        <w:numPr>
          <w:ilvl w:val="1"/>
          <w:numId w:val="9"/>
        </w:numPr>
      </w:pPr>
      <w:r>
        <w:t xml:space="preserve"> Principle </w:t>
      </w:r>
    </w:p>
    <w:p w:rsidR="006F56E9" w:rsidRDefault="0006433E" w:rsidP="0006433E">
      <w:r>
        <w:t>The stiffness of a flexure web can be calculated by measurement of the resonant frequency of the unsupport</w:t>
      </w:r>
      <w:r w:rsidR="00A2031C">
        <w:t>ed</w:t>
      </w:r>
      <w:r>
        <w:t xml:space="preserve"> flexure mounting tab. The natural frequency is measured using an optical shadow sensor </w:t>
      </w:r>
      <w:r w:rsidR="006F56E9">
        <w:t>to the deflection of the mounting tip. The deflection is recorded an</w:t>
      </w:r>
      <w:r w:rsidR="0042348D">
        <w:t>d</w:t>
      </w:r>
      <w:r w:rsidR="006F56E9">
        <w:t xml:space="preserve"> used to fit a damped sinusoid, resulting in the natural frequency and Q of the flexure. </w:t>
      </w:r>
    </w:p>
    <w:p w:rsidR="006F56E9" w:rsidRDefault="00EB1AF4" w:rsidP="0006433E">
      <w:r>
        <w:t xml:space="preserve">The natural frequency, </w:t>
      </w:r>
      <w:r w:rsidR="006F56E9">
        <w:t>of the flexure is related to its stiffness</w:t>
      </w:r>
      <w:r>
        <w:t>,</w:t>
      </w:r>
      <w:r w:rsidRPr="00EB1AF4">
        <w:rPr>
          <w:i/>
        </w:rPr>
        <w:t xml:space="preserve"> k</w:t>
      </w:r>
      <w:r w:rsidRPr="00EB1AF4">
        <w:t xml:space="preserve">, </w:t>
      </w:r>
      <w:r w:rsidR="006F56E9">
        <w:t xml:space="preserve">via, </w:t>
      </w:r>
    </w:p>
    <w:tbl>
      <w:tblPr>
        <w:tblStyle w:val="TableGrid"/>
        <w:tblW w:w="0" w:type="auto"/>
        <w:tblInd w:w="18" w:type="dxa"/>
        <w:tblLayout w:type="fixed"/>
        <w:tblLook w:val="04A0"/>
      </w:tblPr>
      <w:tblGrid>
        <w:gridCol w:w="8622"/>
        <w:gridCol w:w="720"/>
      </w:tblGrid>
      <w:tr w:rsidR="006F56E9" w:rsidTr="00EB1AF4">
        <w:tc>
          <w:tcPr>
            <w:tcW w:w="8622" w:type="dxa"/>
            <w:tcBorders>
              <w:top w:val="nil"/>
              <w:left w:val="nil"/>
              <w:bottom w:val="nil"/>
              <w:right w:val="nil"/>
            </w:tcBorders>
            <w:vAlign w:val="center"/>
          </w:tcPr>
          <w:p w:rsidR="006F56E9" w:rsidRPr="006F56E9" w:rsidRDefault="00EB1AF4" w:rsidP="00EB1AF4">
            <w:pPr>
              <w:ind w:left="702"/>
              <w:jc w:val="center"/>
              <w:rPr>
                <w:vertAlign w:val="subscript"/>
              </w:rPr>
            </w:pPr>
            <m:oMathPara>
              <m:oMath>
                <m:r>
                  <w:rPr>
                    <w:rFonts w:ascii="Cambria Math" w:hAnsi="Cambria Math"/>
                  </w:rPr>
                  <m:t>ω=</m:t>
                </m:r>
                <m:rad>
                  <m:radPr>
                    <m:degHide m:val="on"/>
                    <m:ctrlPr>
                      <w:rPr>
                        <w:rFonts w:ascii="Cambria Math" w:hAnsi="Cambria Math"/>
                        <w:i/>
                      </w:rPr>
                    </m:ctrlPr>
                  </m:radPr>
                  <m:deg/>
                  <m:e>
                    <m:f>
                      <m:fPr>
                        <m:ctrlPr>
                          <w:rPr>
                            <w:rFonts w:ascii="Cambria Math" w:hAnsi="Cambria Math"/>
                            <w:i/>
                          </w:rPr>
                        </m:ctrlPr>
                      </m:fPr>
                      <m:num>
                        <m:r>
                          <w:rPr>
                            <w:rFonts w:ascii="Cambria Math" w:hAnsi="Cambria Math"/>
                          </w:rPr>
                          <m:t>k</m:t>
                        </m:r>
                      </m:num>
                      <m:den>
                        <m:sSub>
                          <m:sSubPr>
                            <m:ctrlPr>
                              <w:rPr>
                                <w:rFonts w:ascii="Cambria Math" w:hAnsi="Cambria Math"/>
                                <w:i/>
                              </w:rPr>
                            </m:ctrlPr>
                          </m:sSubPr>
                          <m:e>
                            <m:r>
                              <w:rPr>
                                <w:rFonts w:ascii="Cambria Math" w:hAnsi="Cambria Math"/>
                              </w:rPr>
                              <m:t>I</m:t>
                            </m:r>
                          </m:e>
                          <m:sub>
                            <m:r>
                              <w:rPr>
                                <w:rFonts w:ascii="Cambria Math" w:hAnsi="Cambria Math"/>
                              </w:rPr>
                              <m:t>eff</m:t>
                            </m:r>
                          </m:sub>
                        </m:sSub>
                      </m:den>
                    </m:f>
                  </m:e>
                </m:rad>
              </m:oMath>
            </m:oMathPara>
          </w:p>
        </w:tc>
        <w:tc>
          <w:tcPr>
            <w:tcW w:w="720" w:type="dxa"/>
            <w:tcBorders>
              <w:top w:val="nil"/>
              <w:left w:val="nil"/>
              <w:bottom w:val="nil"/>
              <w:right w:val="nil"/>
            </w:tcBorders>
            <w:vAlign w:val="center"/>
          </w:tcPr>
          <w:p w:rsidR="006F56E9" w:rsidRPr="006F56E9" w:rsidRDefault="006F56E9" w:rsidP="00EB1AF4">
            <w:pPr>
              <w:jc w:val="right"/>
              <w:rPr>
                <w:bCs/>
              </w:rPr>
            </w:pPr>
            <w:r w:rsidRPr="006F56E9">
              <w:rPr>
                <w:bCs/>
              </w:rPr>
              <w:t>(</w:t>
            </w:r>
            <w:r w:rsidR="00A90578" w:rsidRPr="00A90578">
              <w:rPr>
                <w:bCs/>
              </w:rPr>
              <w:fldChar w:fldCharType="begin"/>
            </w:r>
            <w:r w:rsidRPr="006F56E9">
              <w:rPr>
                <w:bCs/>
              </w:rPr>
              <w:instrText xml:space="preserve"> SEQ Equation \* ARABIC </w:instrText>
            </w:r>
            <w:r w:rsidR="00A90578" w:rsidRPr="00A90578">
              <w:rPr>
                <w:bCs/>
                <w:sz w:val="24"/>
              </w:rPr>
              <w:fldChar w:fldCharType="separate"/>
            </w:r>
            <w:r w:rsidRPr="006F56E9">
              <w:rPr>
                <w:bCs/>
              </w:rPr>
              <w:t>1</w:t>
            </w:r>
            <w:r w:rsidR="00A90578" w:rsidRPr="006F56E9">
              <w:fldChar w:fldCharType="end"/>
            </w:r>
            <w:r w:rsidRPr="006F56E9">
              <w:t>)</w:t>
            </w:r>
          </w:p>
        </w:tc>
      </w:tr>
    </w:tbl>
    <w:p w:rsidR="007A72B0" w:rsidRDefault="0006433E" w:rsidP="00013605">
      <w:r>
        <w:t xml:space="preserve"> </w:t>
      </w:r>
      <w:r w:rsidR="00EB1AF4">
        <w:t xml:space="preserve">where, </w:t>
      </w:r>
      <w:r w:rsidR="00EB1AF4" w:rsidRPr="00EB1AF4">
        <w:rPr>
          <w:i/>
        </w:rPr>
        <w:t>I</w:t>
      </w:r>
      <w:r w:rsidR="00EB1AF4" w:rsidRPr="00EB1AF4">
        <w:rPr>
          <w:i/>
          <w:vertAlign w:val="subscript"/>
        </w:rPr>
        <w:t>eff</w:t>
      </w:r>
      <w:r w:rsidR="00EB1AF4">
        <w:t xml:space="preserve"> is the moment of inertia of the </w:t>
      </w:r>
      <w:r w:rsidR="00A72BBB">
        <w:t>flexure end point about an axis along the center of the web. The effective moment can be calcula</w:t>
      </w:r>
      <w:r w:rsidR="000C2AC4">
        <w:t xml:space="preserve">ted from the Solidworks models of the parts. </w:t>
      </w:r>
    </w:p>
    <w:tbl>
      <w:tblPr>
        <w:tblStyle w:val="TableGrid"/>
        <w:tblW w:w="0" w:type="auto"/>
        <w:tblLook w:val="04A0"/>
      </w:tblPr>
      <w:tblGrid>
        <w:gridCol w:w="3192"/>
        <w:gridCol w:w="3486"/>
        <w:gridCol w:w="2898"/>
      </w:tblGrid>
      <w:tr w:rsidR="007A72B0" w:rsidTr="00013605">
        <w:tc>
          <w:tcPr>
            <w:tcW w:w="9576" w:type="dxa"/>
            <w:gridSpan w:val="3"/>
            <w:tcBorders>
              <w:top w:val="nil"/>
              <w:left w:val="nil"/>
              <w:bottom w:val="nil"/>
              <w:right w:val="nil"/>
            </w:tcBorders>
          </w:tcPr>
          <w:p w:rsidR="007A72B0" w:rsidRDefault="007A72B0" w:rsidP="00013605">
            <w:pPr>
              <w:jc w:val="center"/>
            </w:pPr>
            <w:r>
              <w:t xml:space="preserve">Table </w:t>
            </w:r>
            <w:fldSimple w:instr=" SEQ Table \* ARABIC ">
              <w:r>
                <w:rPr>
                  <w:noProof/>
                </w:rPr>
                <w:t>1</w:t>
              </w:r>
            </w:fldSimple>
            <w:r>
              <w:t xml:space="preserve">.  </w:t>
            </w:r>
            <w:r w:rsidR="00013605">
              <w:t>Calculated m</w:t>
            </w:r>
            <w:r>
              <w:t>oments of inertia for flexure</w:t>
            </w:r>
            <w:r w:rsidR="00013605">
              <w:t xml:space="preserve"> end tabs (</w:t>
            </w:r>
            <w:r w:rsidR="00013605" w:rsidRPr="00EB1AF4">
              <w:rPr>
                <w:i/>
              </w:rPr>
              <w:t>I</w:t>
            </w:r>
            <w:r w:rsidR="00013605" w:rsidRPr="00EB1AF4">
              <w:rPr>
                <w:i/>
                <w:vertAlign w:val="subscript"/>
              </w:rPr>
              <w:t>eff</w:t>
            </w:r>
            <w:r w:rsidR="00013605" w:rsidRPr="00013605">
              <w:t>)</w:t>
            </w:r>
            <w:r w:rsidR="00013605">
              <w:t>.</w:t>
            </w:r>
          </w:p>
        </w:tc>
      </w:tr>
      <w:tr w:rsidR="00013605" w:rsidTr="00013605">
        <w:trPr>
          <w:trHeight w:val="144"/>
        </w:trPr>
        <w:tc>
          <w:tcPr>
            <w:tcW w:w="3192" w:type="dxa"/>
            <w:tcBorders>
              <w:top w:val="nil"/>
              <w:left w:val="nil"/>
              <w:bottom w:val="nil"/>
              <w:right w:val="nil"/>
            </w:tcBorders>
          </w:tcPr>
          <w:p w:rsidR="00013605" w:rsidRDefault="00013605" w:rsidP="0042348D">
            <w:pPr>
              <w:jc w:val="center"/>
            </w:pPr>
          </w:p>
        </w:tc>
        <w:tc>
          <w:tcPr>
            <w:tcW w:w="3486" w:type="dxa"/>
            <w:tcBorders>
              <w:top w:val="nil"/>
              <w:left w:val="nil"/>
              <w:bottom w:val="nil"/>
              <w:right w:val="nil"/>
            </w:tcBorders>
          </w:tcPr>
          <w:p w:rsidR="00013605" w:rsidRDefault="00013605" w:rsidP="0042348D">
            <w:pPr>
              <w:jc w:val="center"/>
            </w:pPr>
          </w:p>
        </w:tc>
        <w:tc>
          <w:tcPr>
            <w:tcW w:w="2898" w:type="dxa"/>
            <w:tcBorders>
              <w:top w:val="nil"/>
              <w:left w:val="nil"/>
              <w:bottom w:val="nil"/>
              <w:right w:val="nil"/>
            </w:tcBorders>
          </w:tcPr>
          <w:p w:rsidR="00013605" w:rsidRDefault="00013605" w:rsidP="0042348D">
            <w:pPr>
              <w:jc w:val="center"/>
            </w:pPr>
          </w:p>
        </w:tc>
      </w:tr>
      <w:tr w:rsidR="007A72B0" w:rsidTr="00013605">
        <w:tc>
          <w:tcPr>
            <w:tcW w:w="3192" w:type="dxa"/>
            <w:tcBorders>
              <w:top w:val="nil"/>
              <w:left w:val="nil"/>
              <w:bottom w:val="single" w:sz="4" w:space="0" w:color="000000" w:themeColor="text1"/>
              <w:right w:val="nil"/>
            </w:tcBorders>
          </w:tcPr>
          <w:p w:rsidR="007A72B0" w:rsidRDefault="007A72B0" w:rsidP="0006433E"/>
        </w:tc>
        <w:tc>
          <w:tcPr>
            <w:tcW w:w="3486" w:type="dxa"/>
            <w:tcBorders>
              <w:top w:val="nil"/>
              <w:left w:val="nil"/>
              <w:bottom w:val="nil"/>
              <w:right w:val="nil"/>
            </w:tcBorders>
          </w:tcPr>
          <w:p w:rsidR="00013605" w:rsidRDefault="007A72B0" w:rsidP="007A72B0">
            <w:pPr>
              <w:jc w:val="center"/>
            </w:pPr>
            <w:r>
              <w:t xml:space="preserve">Long tab </w:t>
            </w:r>
          </w:p>
          <w:p w:rsidR="007A72B0" w:rsidRPr="007A72B0" w:rsidRDefault="007A72B0" w:rsidP="007A72B0">
            <w:pPr>
              <w:jc w:val="center"/>
            </w:pPr>
            <w:r>
              <w:t>(g</w:t>
            </w:r>
            <w:r>
              <w:rPr>
                <w:rFonts w:cs="Times New Roman"/>
              </w:rPr>
              <w:t>∙c</w:t>
            </w:r>
            <w:r>
              <w:t>m</w:t>
            </w:r>
            <w:r>
              <w:rPr>
                <w:vertAlign w:val="superscript"/>
              </w:rPr>
              <w:t>2</w:t>
            </w:r>
            <w:r>
              <w:t>)</w:t>
            </w:r>
          </w:p>
        </w:tc>
        <w:tc>
          <w:tcPr>
            <w:tcW w:w="2898" w:type="dxa"/>
            <w:tcBorders>
              <w:top w:val="nil"/>
              <w:left w:val="nil"/>
              <w:bottom w:val="nil"/>
              <w:right w:val="nil"/>
            </w:tcBorders>
          </w:tcPr>
          <w:p w:rsidR="00013605" w:rsidRDefault="007A72B0" w:rsidP="007A72B0">
            <w:pPr>
              <w:jc w:val="center"/>
            </w:pPr>
            <w:r>
              <w:t xml:space="preserve">Short tab </w:t>
            </w:r>
          </w:p>
          <w:p w:rsidR="007A72B0" w:rsidRDefault="007A72B0" w:rsidP="007A72B0">
            <w:pPr>
              <w:jc w:val="center"/>
            </w:pPr>
            <w:r>
              <w:t>(g</w:t>
            </w:r>
            <w:r>
              <w:rPr>
                <w:rFonts w:cs="Times New Roman"/>
              </w:rPr>
              <w:t>∙c</w:t>
            </w:r>
            <w:r>
              <w:t>m</w:t>
            </w:r>
            <w:r>
              <w:rPr>
                <w:vertAlign w:val="superscript"/>
              </w:rPr>
              <w:t>2</w:t>
            </w:r>
            <w:r>
              <w:t>)</w:t>
            </w:r>
          </w:p>
        </w:tc>
      </w:tr>
      <w:tr w:rsidR="007A72B0" w:rsidTr="00013605">
        <w:tc>
          <w:tcPr>
            <w:tcW w:w="3192" w:type="dxa"/>
            <w:tcBorders>
              <w:left w:val="nil"/>
              <w:bottom w:val="nil"/>
              <w:right w:val="nil"/>
            </w:tcBorders>
          </w:tcPr>
          <w:p w:rsidR="007A72B0" w:rsidRDefault="007A72B0" w:rsidP="0006433E">
            <w:r>
              <w:t>Top Flexure</w:t>
            </w:r>
          </w:p>
        </w:tc>
        <w:tc>
          <w:tcPr>
            <w:tcW w:w="3486" w:type="dxa"/>
            <w:tcBorders>
              <w:left w:val="nil"/>
              <w:bottom w:val="nil"/>
              <w:right w:val="nil"/>
            </w:tcBorders>
          </w:tcPr>
          <w:p w:rsidR="007A72B0" w:rsidRPr="007A72B0" w:rsidRDefault="007A72B0" w:rsidP="007A72B0">
            <w:pPr>
              <w:autoSpaceDE w:val="0"/>
              <w:autoSpaceDN w:val="0"/>
              <w:adjustRightInd w:val="0"/>
              <w:jc w:val="center"/>
              <w:rPr>
                <w:rFonts w:cs="Times New Roman"/>
                <w:sz w:val="24"/>
              </w:rPr>
            </w:pPr>
            <w:r w:rsidRPr="007A72B0">
              <w:rPr>
                <w:rFonts w:cs="Times New Roman"/>
                <w:color w:val="000000"/>
                <w:sz w:val="24"/>
                <w:szCs w:val="24"/>
              </w:rPr>
              <w:t>3.40503</w:t>
            </w:r>
          </w:p>
        </w:tc>
        <w:tc>
          <w:tcPr>
            <w:tcW w:w="2898" w:type="dxa"/>
            <w:tcBorders>
              <w:left w:val="nil"/>
              <w:bottom w:val="nil"/>
              <w:right w:val="nil"/>
            </w:tcBorders>
          </w:tcPr>
          <w:p w:rsidR="007A72B0" w:rsidRPr="007A72B0" w:rsidRDefault="007A72B0" w:rsidP="007A72B0">
            <w:pPr>
              <w:autoSpaceDE w:val="0"/>
              <w:autoSpaceDN w:val="0"/>
              <w:adjustRightInd w:val="0"/>
              <w:jc w:val="center"/>
              <w:rPr>
                <w:rFonts w:cs="Times New Roman"/>
                <w:sz w:val="24"/>
              </w:rPr>
            </w:pPr>
            <w:r w:rsidRPr="007A72B0">
              <w:rPr>
                <w:rFonts w:cs="Times New Roman"/>
                <w:color w:val="000000"/>
                <w:sz w:val="24"/>
                <w:szCs w:val="24"/>
              </w:rPr>
              <w:t>2.6285</w:t>
            </w:r>
          </w:p>
        </w:tc>
      </w:tr>
      <w:tr w:rsidR="007A72B0" w:rsidTr="00013605">
        <w:tc>
          <w:tcPr>
            <w:tcW w:w="3192" w:type="dxa"/>
            <w:tcBorders>
              <w:top w:val="nil"/>
              <w:left w:val="nil"/>
              <w:right w:val="nil"/>
            </w:tcBorders>
          </w:tcPr>
          <w:p w:rsidR="007A72B0" w:rsidRDefault="007A72B0" w:rsidP="0006433E">
            <w:r>
              <w:t>Bottom Flexure</w:t>
            </w:r>
          </w:p>
        </w:tc>
        <w:tc>
          <w:tcPr>
            <w:tcW w:w="3486" w:type="dxa"/>
            <w:tcBorders>
              <w:top w:val="nil"/>
              <w:left w:val="nil"/>
              <w:bottom w:val="single" w:sz="4" w:space="0" w:color="auto"/>
              <w:right w:val="nil"/>
            </w:tcBorders>
          </w:tcPr>
          <w:p w:rsidR="007A72B0" w:rsidRPr="007A72B0" w:rsidRDefault="007A72B0" w:rsidP="007A72B0">
            <w:pPr>
              <w:autoSpaceDE w:val="0"/>
              <w:autoSpaceDN w:val="0"/>
              <w:adjustRightInd w:val="0"/>
              <w:jc w:val="center"/>
              <w:rPr>
                <w:rFonts w:cs="Times New Roman"/>
                <w:sz w:val="24"/>
              </w:rPr>
            </w:pPr>
            <w:r w:rsidRPr="007A72B0">
              <w:rPr>
                <w:rFonts w:cs="Times New Roman"/>
                <w:color w:val="000000"/>
                <w:sz w:val="24"/>
                <w:szCs w:val="24"/>
              </w:rPr>
              <w:t>4.91823</w:t>
            </w:r>
          </w:p>
        </w:tc>
        <w:tc>
          <w:tcPr>
            <w:tcW w:w="2898" w:type="dxa"/>
            <w:tcBorders>
              <w:top w:val="nil"/>
              <w:left w:val="nil"/>
              <w:right w:val="nil"/>
            </w:tcBorders>
          </w:tcPr>
          <w:p w:rsidR="007A72B0" w:rsidRPr="007A72B0" w:rsidRDefault="007A72B0" w:rsidP="007A72B0">
            <w:pPr>
              <w:autoSpaceDE w:val="0"/>
              <w:autoSpaceDN w:val="0"/>
              <w:adjustRightInd w:val="0"/>
              <w:jc w:val="center"/>
              <w:rPr>
                <w:rFonts w:cs="Times New Roman"/>
                <w:sz w:val="24"/>
              </w:rPr>
            </w:pPr>
            <w:r w:rsidRPr="007A72B0">
              <w:rPr>
                <w:rFonts w:cs="Times New Roman"/>
                <w:color w:val="000000"/>
                <w:sz w:val="24"/>
                <w:szCs w:val="24"/>
              </w:rPr>
              <w:t>3.00628</w:t>
            </w:r>
          </w:p>
        </w:tc>
      </w:tr>
    </w:tbl>
    <w:p w:rsidR="0042348D" w:rsidRDefault="0042348D" w:rsidP="0042348D">
      <w:pPr>
        <w:pStyle w:val="Heading1"/>
        <w:numPr>
          <w:ilvl w:val="1"/>
          <w:numId w:val="9"/>
        </w:numPr>
      </w:pPr>
      <w:r>
        <w:t>Measurements</w:t>
      </w:r>
    </w:p>
    <w:p w:rsidR="002905EE" w:rsidRDefault="00013605" w:rsidP="00013605">
      <w:r>
        <w:t xml:space="preserve">Each flexure was rigidly clamped with two clamps </w:t>
      </w:r>
      <w:r>
        <w:rPr>
          <w:noProof/>
        </w:rPr>
        <w:drawing>
          <wp:anchor distT="0" distB="0" distL="114300" distR="114300" simplePos="0" relativeHeight="251663360" behindDoc="0" locked="0" layoutInCell="1" allowOverlap="1">
            <wp:simplePos x="0" y="0"/>
            <wp:positionH relativeFrom="column">
              <wp:posOffset>19050</wp:posOffset>
            </wp:positionH>
            <wp:positionV relativeFrom="paragraph">
              <wp:posOffset>466725</wp:posOffset>
            </wp:positionV>
            <wp:extent cx="5934075" cy="3638550"/>
            <wp:effectExtent l="19050" t="0" r="9525" b="0"/>
            <wp:wrapSquare wrapText="bothSides"/>
            <wp:docPr id="1" name="Picture 1" descr="C:\Users\Graham\Documents\RepositoryWork\LIGO\Flexure\Measurements\ResonantFreq\Flexure2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raham\Documents\RepositoryWork\LIGO\Flexure\Measurements\ResonantFreq\Flexure2S.jpg"/>
                    <pic:cNvPicPr>
                      <a:picLocks noChangeAspect="1" noChangeArrowheads="1"/>
                    </pic:cNvPicPr>
                  </pic:nvPicPr>
                  <pic:blipFill>
                    <a:blip r:embed="rId11" cstate="print"/>
                    <a:srcRect/>
                    <a:stretch>
                      <a:fillRect/>
                    </a:stretch>
                  </pic:blipFill>
                  <pic:spPr bwMode="auto">
                    <a:xfrm>
                      <a:off x="0" y="0"/>
                      <a:ext cx="5934075" cy="3638550"/>
                    </a:xfrm>
                    <a:prstGeom prst="rect">
                      <a:avLst/>
                    </a:prstGeom>
                    <a:noFill/>
                    <a:ln w="9525">
                      <a:noFill/>
                      <a:miter lim="800000"/>
                      <a:headEnd/>
                      <a:tailEnd/>
                    </a:ln>
                  </pic:spPr>
                </pic:pic>
              </a:graphicData>
            </a:graphic>
          </wp:anchor>
        </w:drawing>
      </w:r>
      <w:r w:rsidR="002905EE">
        <w:t xml:space="preserve">in the middle of the flexure. The end tab was </w:t>
      </w:r>
      <w:r w:rsidR="002905EE">
        <w:lastRenderedPageBreak/>
        <w:t xml:space="preserve">freely hanging. Oscillation of the end tip was excited by plucking the flexure tab. The displacement of the tab was recorded by an oscilloscope. The data was given 100 ms to stabilize before data is used for numeric fitting. The ringdown response of the flexure is fit to a damped sinusoid using a non-linear least squares fit over a section of 300 ms of data, corresponding to approximately 30 cycles of oscillation for the flexure. </w:t>
      </w:r>
      <w:r w:rsidR="004C10E7">
        <w:t xml:space="preserve">As shown in the Figure X, the fit tracks the phase of the ringdown response accurately, leading to extremely accurate estimates of the flexure resonant frequency. </w:t>
      </w:r>
    </w:p>
    <w:p w:rsidR="004C10E7" w:rsidRDefault="004C10E7" w:rsidP="00013605"/>
    <w:p w:rsidR="009E11E8" w:rsidRDefault="00F21F0A" w:rsidP="00F21F0A">
      <w:pPr>
        <w:pStyle w:val="Heading1"/>
        <w:numPr>
          <w:ilvl w:val="0"/>
          <w:numId w:val="9"/>
        </w:numPr>
      </w:pPr>
      <w:r>
        <w:t>Conclusions</w:t>
      </w:r>
    </w:p>
    <w:p w:rsidR="001638D5" w:rsidRDefault="00F21F0A" w:rsidP="00F21F0A">
      <w:r>
        <w:t>The flexure test gauge demonstrates sufficient accuracy and repeatability for</w:t>
      </w:r>
      <w:r w:rsidR="000E2C60">
        <w:t xml:space="preserve"> acceptance of GS-13 replacement flexures. The demonstrated repeatability exceeds 0.1 mil with an accuracy of 0.06 mil. </w:t>
      </w:r>
    </w:p>
    <w:p w:rsidR="001638D5" w:rsidRDefault="001638D5" w:rsidP="00BD3457">
      <w:pPr>
        <w:pStyle w:val="Heading1"/>
        <w:numPr>
          <w:ilvl w:val="0"/>
          <w:numId w:val="9"/>
        </w:numPr>
      </w:pPr>
      <w:r>
        <w:t>R</w:t>
      </w:r>
      <w:r w:rsidR="00BD3457">
        <w:t>eferences</w:t>
      </w:r>
    </w:p>
    <w:p w:rsidR="00BD3457" w:rsidRDefault="00BD3457" w:rsidP="00BD3457">
      <w:pPr>
        <w:pStyle w:val="Bibliography"/>
      </w:pPr>
    </w:p>
    <w:p w:rsidR="00BD3457" w:rsidRDefault="00A90578" w:rsidP="00BD3457">
      <w:pPr>
        <w:pStyle w:val="Bibliography"/>
        <w:rPr>
          <w:noProof/>
        </w:rPr>
      </w:pPr>
      <w:r>
        <w:fldChar w:fldCharType="begin"/>
      </w:r>
      <w:r w:rsidR="001638D5">
        <w:instrText xml:space="preserve"> BIBLIOGRAPHY  \l 1033 </w:instrText>
      </w:r>
      <w:r>
        <w:fldChar w:fldCharType="separate"/>
      </w:r>
      <w:r w:rsidR="00BD3457">
        <w:rPr>
          <w:noProof/>
        </w:rPr>
        <w:t xml:space="preserve">1. </w:t>
      </w:r>
      <w:r w:rsidR="00BD3457">
        <w:rPr>
          <w:b/>
          <w:bCs/>
          <w:noProof/>
        </w:rPr>
        <w:t>Daniel Clark, Brian Lantz.</w:t>
      </w:r>
      <w:r w:rsidR="00BD3457">
        <w:rPr>
          <w:noProof/>
        </w:rPr>
        <w:t xml:space="preserve"> </w:t>
      </w:r>
      <w:r w:rsidR="00BD3457">
        <w:rPr>
          <w:i/>
          <w:iCs/>
          <w:noProof/>
        </w:rPr>
        <w:t xml:space="preserve">Replacement Flexures for the GS-13 Seismometer. </w:t>
      </w:r>
      <w:r w:rsidR="00BD3457">
        <w:rPr>
          <w:noProof/>
        </w:rPr>
        <w:t>Stanford University. 2009. LIGO DCC. T0900089-v1.</w:t>
      </w:r>
    </w:p>
    <w:p w:rsidR="00F21F0A" w:rsidRPr="00F21F0A" w:rsidRDefault="00A90578" w:rsidP="00BD3457">
      <w:r>
        <w:fldChar w:fldCharType="end"/>
      </w:r>
      <w:r w:rsidR="00F21F0A">
        <w:t xml:space="preserve"> </w:t>
      </w:r>
    </w:p>
    <w:p w:rsidR="00F21F0A" w:rsidRDefault="00F21F0A" w:rsidP="00F21F0A">
      <w:pPr>
        <w:pStyle w:val="Heading1"/>
      </w:pPr>
      <w:r>
        <w:t xml:space="preserve"> Drawings and photographs</w:t>
      </w:r>
    </w:p>
    <w:p w:rsidR="006B2727" w:rsidRDefault="006B2727" w:rsidP="00F21F0A">
      <w:pPr>
        <w:pStyle w:val="Heading2"/>
      </w:pPr>
      <w:r>
        <w:t>Fixture assembly drawings:</w:t>
      </w:r>
    </w:p>
    <w:p w:rsidR="006B2727" w:rsidRDefault="006B2727" w:rsidP="006B2727"/>
    <w:p w:rsidR="006B2727" w:rsidRDefault="006B2727" w:rsidP="006B2727"/>
    <w:p w:rsidR="006B2727" w:rsidRDefault="00874EA9" w:rsidP="00F21F0A">
      <w:pPr>
        <w:pStyle w:val="Heading2"/>
      </w:pPr>
      <w:r>
        <w:t>Fixture machine</w:t>
      </w:r>
      <w:r w:rsidR="006B2727">
        <w:t xml:space="preserve"> drawings</w:t>
      </w:r>
      <w:r w:rsidR="00FF6ED0">
        <w:t>:</w:t>
      </w:r>
    </w:p>
    <w:sectPr w:rsidR="006B2727" w:rsidSect="001638D5">
      <w:headerReference w:type="default" r:id="rId12"/>
      <w:type w:val="continuous"/>
      <w:pgSz w:w="12240" w:h="15840"/>
      <w:pgMar w:top="1440" w:right="1440" w:bottom="144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E124E" w:rsidRDefault="004E124E" w:rsidP="00EB036C">
      <w:pPr>
        <w:spacing w:after="0" w:line="240" w:lineRule="auto"/>
      </w:pPr>
      <w:r>
        <w:separator/>
      </w:r>
    </w:p>
  </w:endnote>
  <w:endnote w:type="continuationSeparator" w:id="0">
    <w:p w:rsidR="004E124E" w:rsidRDefault="004E124E" w:rsidP="00EB036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E1002AFF" w:usb1="C000605B" w:usb2="00000029" w:usb3="00000000" w:csb0="000101FF" w:csb1="00000000"/>
  </w:font>
  <w:font w:name="Gulim">
    <w:altName w:val="굴림"/>
    <w:panose1 w:val="020B0600000101010101"/>
    <w:charset w:val="81"/>
    <w:family w:val="swiss"/>
    <w:pitch w:val="variable"/>
    <w:sig w:usb0="B00002AF" w:usb1="69D77CFB" w:usb2="00000030" w:usb3="00000000" w:csb0="0008009F" w:csb1="00000000"/>
  </w:font>
  <w:font w:name="Cambria Math">
    <w:panose1 w:val="02040503050406030204"/>
    <w:charset w:val="00"/>
    <w:family w:val="roman"/>
    <w:pitch w:val="variable"/>
    <w:sig w:usb0="A00002EF" w:usb1="420020EB" w:usb2="00000000" w:usb3="00000000" w:csb0="0000009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E124E" w:rsidRDefault="004E124E" w:rsidP="00EB036C">
      <w:pPr>
        <w:spacing w:after="0" w:line="240" w:lineRule="auto"/>
      </w:pPr>
      <w:r>
        <w:separator/>
      </w:r>
    </w:p>
  </w:footnote>
  <w:footnote w:type="continuationSeparator" w:id="0">
    <w:p w:rsidR="004E124E" w:rsidRDefault="004E124E" w:rsidP="00EB036C">
      <w:pPr>
        <w:spacing w:after="0" w:line="240" w:lineRule="auto"/>
      </w:pPr>
      <w:r>
        <w:continuationSeparator/>
      </w:r>
    </w:p>
  </w:footnote>
  <w:footnote w:id="1">
    <w:p w:rsidR="00FC65FF" w:rsidRDefault="00FC65FF" w:rsidP="00FC65FF">
      <w:pPr>
        <w:pStyle w:val="FootnoteText"/>
      </w:pPr>
      <w:r>
        <w:rPr>
          <w:rStyle w:val="FootnoteReference"/>
        </w:rPr>
        <w:footnoteRef/>
      </w:r>
      <w:r>
        <w:t xml:space="preserve"> Standard deviation of five samples, each measured five times.</w:t>
      </w:r>
    </w:p>
  </w:footnote>
  <w:footnote w:id="2">
    <w:p w:rsidR="00FC65FF" w:rsidRDefault="00FC65FF" w:rsidP="00FC65FF">
      <w:pPr>
        <w:pStyle w:val="FootnoteText"/>
      </w:pPr>
      <w:r>
        <w:rPr>
          <w:rStyle w:val="FootnoteReference"/>
        </w:rPr>
        <w:footnoteRef/>
      </w:r>
      <w:r>
        <w:t xml:space="preserve"> Maximum difference of five samples, each measured five times. </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01B4A" w:rsidRDefault="00D4273B">
    <w:pPr>
      <w:pStyle w:val="Header"/>
    </w:pPr>
    <w:r w:rsidRPr="00851423">
      <w:rPr>
        <w:b/>
      </w:rPr>
      <w:t>LIGO-T0900363-v1</w:t>
    </w:r>
    <w:r>
      <w:ptab w:relativeTo="margin" w:alignment="center" w:leader="none"/>
    </w:r>
    <w:r>
      <w:t>Design and tes</w:t>
    </w:r>
    <w:r w:rsidR="00D01B4A">
      <w:t>ting of GS-13 flexures</w:t>
    </w:r>
    <w:r w:rsidR="00D01B4A">
      <w:tab/>
      <w:t xml:space="preserve"> Stanford Univ.</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3F3BBB"/>
    <w:multiLevelType w:val="multilevel"/>
    <w:tmpl w:val="2A461014"/>
    <w:lvl w:ilvl="0">
      <w:start w:val="1"/>
      <w:numFmt w:val="decimal"/>
      <w:lvlText w:val="%1."/>
      <w:lvlJc w:val="left"/>
      <w:pPr>
        <w:ind w:left="45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D3C561B"/>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nsid w:val="225A7FC9"/>
    <w:multiLevelType w:val="hybridMultilevel"/>
    <w:tmpl w:val="1C347450"/>
    <w:lvl w:ilvl="0" w:tplc="69F8C1F4">
      <w:start w:val="1"/>
      <w:numFmt w:val="decimal"/>
      <w:pStyle w:val="Heading3"/>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2B38394E"/>
    <w:multiLevelType w:val="multilevel"/>
    <w:tmpl w:val="040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2E0955F4"/>
    <w:multiLevelType w:val="multilevel"/>
    <w:tmpl w:val="20081FF4"/>
    <w:lvl w:ilvl="0">
      <w:start w:val="1"/>
      <w:numFmt w:val="upperLetter"/>
      <w:pStyle w:val="Heading1"/>
      <w:lvlText w:val="%1."/>
      <w:lvlJc w:val="left"/>
      <w:pPr>
        <w:ind w:left="450" w:hanging="360"/>
      </w:pPr>
      <w:rPr>
        <w:rFonts w:hint="default"/>
      </w:rPr>
    </w:lvl>
    <w:lvl w:ilvl="1">
      <w:start w:val="1"/>
      <w:numFmt w:val="decimal"/>
      <w:pStyle w:val="Heading2"/>
      <w:lvlText w:val="%1.%2."/>
      <w:lvlJc w:val="left"/>
      <w:pPr>
        <w:ind w:left="882" w:hanging="432"/>
      </w:pPr>
      <w:rPr>
        <w:rFonts w:hint="default"/>
      </w:rPr>
    </w:lvl>
    <w:lvl w:ilvl="2">
      <w:start w:val="1"/>
      <w:numFmt w:val="decimal"/>
      <w:lvlText w:val="%1.%2.%3."/>
      <w:lvlJc w:val="left"/>
      <w:pPr>
        <w:ind w:left="1314" w:hanging="504"/>
      </w:pPr>
      <w:rPr>
        <w:rFonts w:hint="default"/>
      </w:rPr>
    </w:lvl>
    <w:lvl w:ilvl="3">
      <w:start w:val="1"/>
      <w:numFmt w:val="decimal"/>
      <w:lvlText w:val="%1.%2.%3.%4."/>
      <w:lvlJc w:val="left"/>
      <w:pPr>
        <w:ind w:left="1818" w:hanging="648"/>
      </w:pPr>
      <w:rPr>
        <w:rFonts w:hint="default"/>
      </w:rPr>
    </w:lvl>
    <w:lvl w:ilvl="4">
      <w:start w:val="1"/>
      <w:numFmt w:val="decimal"/>
      <w:lvlText w:val="%1.%2.%3.%4.%5."/>
      <w:lvlJc w:val="left"/>
      <w:pPr>
        <w:ind w:left="2322" w:hanging="792"/>
      </w:pPr>
      <w:rPr>
        <w:rFonts w:hint="default"/>
      </w:rPr>
    </w:lvl>
    <w:lvl w:ilvl="5">
      <w:start w:val="1"/>
      <w:numFmt w:val="decimal"/>
      <w:lvlText w:val="%1.%2.%3.%4.%5.%6."/>
      <w:lvlJc w:val="left"/>
      <w:pPr>
        <w:ind w:left="2826" w:hanging="936"/>
      </w:pPr>
      <w:rPr>
        <w:rFonts w:hint="default"/>
      </w:rPr>
    </w:lvl>
    <w:lvl w:ilvl="6">
      <w:start w:val="1"/>
      <w:numFmt w:val="decimal"/>
      <w:lvlText w:val="%1.%2.%3.%4.%5.%6.%7."/>
      <w:lvlJc w:val="left"/>
      <w:pPr>
        <w:ind w:left="3330" w:hanging="1080"/>
      </w:pPr>
      <w:rPr>
        <w:rFonts w:hint="default"/>
      </w:rPr>
    </w:lvl>
    <w:lvl w:ilvl="7">
      <w:start w:val="1"/>
      <w:numFmt w:val="decimal"/>
      <w:lvlText w:val="%1.%2.%3.%4.%5.%6.%7.%8."/>
      <w:lvlJc w:val="left"/>
      <w:pPr>
        <w:ind w:left="3834" w:hanging="1224"/>
      </w:pPr>
      <w:rPr>
        <w:rFonts w:hint="default"/>
      </w:rPr>
    </w:lvl>
    <w:lvl w:ilvl="8">
      <w:start w:val="1"/>
      <w:numFmt w:val="decimal"/>
      <w:lvlText w:val="%1.%2.%3.%4.%5.%6.%7.%8.%9."/>
      <w:lvlJc w:val="left"/>
      <w:pPr>
        <w:ind w:left="4410" w:hanging="1440"/>
      </w:pPr>
      <w:rPr>
        <w:rFonts w:hint="default"/>
      </w:rPr>
    </w:lvl>
  </w:abstractNum>
  <w:abstractNum w:abstractNumId="5">
    <w:nsid w:val="2F422E07"/>
    <w:multiLevelType w:val="hybridMultilevel"/>
    <w:tmpl w:val="6F046EA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FD44DFE"/>
    <w:multiLevelType w:val="hybridMultilevel"/>
    <w:tmpl w:val="5E94C9EC"/>
    <w:lvl w:ilvl="0" w:tplc="1848DB7C">
      <w:start w:val="1"/>
      <w:numFmt w:val="decimal"/>
      <w:lvlText w:val="%1."/>
      <w:lvlJc w:val="left"/>
      <w:pPr>
        <w:ind w:left="1080" w:hanging="360"/>
      </w:p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nsid w:val="5523662E"/>
    <w:multiLevelType w:val="hybridMultilevel"/>
    <w:tmpl w:val="5B7064CC"/>
    <w:lvl w:ilvl="0" w:tplc="69D68D2A">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79071D1"/>
    <w:multiLevelType w:val="multilevel"/>
    <w:tmpl w:val="2A4610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580451B3"/>
    <w:multiLevelType w:val="multilevel"/>
    <w:tmpl w:val="2A4610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nsid w:val="5985082B"/>
    <w:multiLevelType w:val="multilevel"/>
    <w:tmpl w:val="2A46101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nsid w:val="66675BF3"/>
    <w:multiLevelType w:val="hybridMultilevel"/>
    <w:tmpl w:val="F41EC88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6F097D79"/>
    <w:multiLevelType w:val="hybridMultilevel"/>
    <w:tmpl w:val="6D48EF7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73ED0BA0"/>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75E17C0C"/>
    <w:multiLevelType w:val="hybridMultilevel"/>
    <w:tmpl w:val="EFAE71C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11"/>
  </w:num>
  <w:num w:numId="3">
    <w:abstractNumId w:val="12"/>
  </w:num>
  <w:num w:numId="4">
    <w:abstractNumId w:val="14"/>
  </w:num>
  <w:num w:numId="5">
    <w:abstractNumId w:val="1"/>
  </w:num>
  <w:num w:numId="6">
    <w:abstractNumId w:val="3"/>
  </w:num>
  <w:num w:numId="7">
    <w:abstractNumId w:val="1"/>
    <w:lvlOverride w:ilvl="0">
      <w:startOverride w:val="1"/>
    </w:lvlOverride>
  </w:num>
  <w:num w:numId="8">
    <w:abstractNumId w:val="2"/>
  </w:num>
  <w:num w:numId="9">
    <w:abstractNumId w:val="0"/>
  </w:num>
  <w:num w:numId="10">
    <w:abstractNumId w:val="6"/>
  </w:num>
  <w:num w:numId="11">
    <w:abstractNumId w:val="7"/>
  </w:num>
  <w:num w:numId="12">
    <w:abstractNumId w:val="13"/>
  </w:num>
  <w:num w:numId="13">
    <w:abstractNumId w:val="8"/>
  </w:num>
  <w:num w:numId="14">
    <w:abstractNumId w:val="10"/>
  </w:num>
  <w:num w:numId="15">
    <w:abstractNumId w:val="0"/>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9"/>
  </w:num>
  <w:num w:numId="17">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drawingGridHorizontalSpacing w:val="120"/>
  <w:displayHorizontalDrawingGridEvery w:val="2"/>
  <w:characterSpacingControl w:val="doNotCompress"/>
  <w:footnotePr>
    <w:footnote w:id="-1"/>
    <w:footnote w:id="0"/>
  </w:footnotePr>
  <w:endnotePr>
    <w:endnote w:id="-1"/>
    <w:endnote w:id="0"/>
  </w:endnotePr>
  <w:compat/>
  <w:rsids>
    <w:rsidRoot w:val="0048601D"/>
    <w:rsid w:val="00013605"/>
    <w:rsid w:val="00014D28"/>
    <w:rsid w:val="00023AA5"/>
    <w:rsid w:val="00043CA5"/>
    <w:rsid w:val="000550AB"/>
    <w:rsid w:val="0006433E"/>
    <w:rsid w:val="00070ABB"/>
    <w:rsid w:val="0008741C"/>
    <w:rsid w:val="000C2AC4"/>
    <w:rsid w:val="000D77B9"/>
    <w:rsid w:val="000E2C60"/>
    <w:rsid w:val="000F1459"/>
    <w:rsid w:val="00102378"/>
    <w:rsid w:val="00131057"/>
    <w:rsid w:val="0013619E"/>
    <w:rsid w:val="00143074"/>
    <w:rsid w:val="001638D5"/>
    <w:rsid w:val="001A2DCF"/>
    <w:rsid w:val="001A7C16"/>
    <w:rsid w:val="001B1057"/>
    <w:rsid w:val="001F02E6"/>
    <w:rsid w:val="00265A27"/>
    <w:rsid w:val="002905EE"/>
    <w:rsid w:val="002A0256"/>
    <w:rsid w:val="002A3D13"/>
    <w:rsid w:val="002B3A22"/>
    <w:rsid w:val="00332C8D"/>
    <w:rsid w:val="003546DF"/>
    <w:rsid w:val="00396CD9"/>
    <w:rsid w:val="003B74DA"/>
    <w:rsid w:val="003C49E0"/>
    <w:rsid w:val="003D2A69"/>
    <w:rsid w:val="00420001"/>
    <w:rsid w:val="0042348D"/>
    <w:rsid w:val="0048601D"/>
    <w:rsid w:val="004966D9"/>
    <w:rsid w:val="004A190F"/>
    <w:rsid w:val="004C0DBC"/>
    <w:rsid w:val="004C10E7"/>
    <w:rsid w:val="004E124E"/>
    <w:rsid w:val="004F0E63"/>
    <w:rsid w:val="00532D6B"/>
    <w:rsid w:val="005E5C8E"/>
    <w:rsid w:val="005E7F40"/>
    <w:rsid w:val="00637AEE"/>
    <w:rsid w:val="006B2727"/>
    <w:rsid w:val="006C2E6B"/>
    <w:rsid w:val="006D4B68"/>
    <w:rsid w:val="006F56E9"/>
    <w:rsid w:val="0078734C"/>
    <w:rsid w:val="007A72B0"/>
    <w:rsid w:val="007E6FCC"/>
    <w:rsid w:val="007F69BE"/>
    <w:rsid w:val="0080708B"/>
    <w:rsid w:val="00842252"/>
    <w:rsid w:val="00851423"/>
    <w:rsid w:val="00874CE9"/>
    <w:rsid w:val="00874EA9"/>
    <w:rsid w:val="00885AEF"/>
    <w:rsid w:val="008A26B8"/>
    <w:rsid w:val="008B2D06"/>
    <w:rsid w:val="0091262D"/>
    <w:rsid w:val="00961B68"/>
    <w:rsid w:val="009864C7"/>
    <w:rsid w:val="00987E04"/>
    <w:rsid w:val="00991C5E"/>
    <w:rsid w:val="009D258E"/>
    <w:rsid w:val="009E11E8"/>
    <w:rsid w:val="00A005D2"/>
    <w:rsid w:val="00A2031C"/>
    <w:rsid w:val="00A2157F"/>
    <w:rsid w:val="00A21A1C"/>
    <w:rsid w:val="00A31E21"/>
    <w:rsid w:val="00A43DA0"/>
    <w:rsid w:val="00A66AAE"/>
    <w:rsid w:val="00A72BBB"/>
    <w:rsid w:val="00A7724B"/>
    <w:rsid w:val="00A90578"/>
    <w:rsid w:val="00AF20F4"/>
    <w:rsid w:val="00B054FC"/>
    <w:rsid w:val="00B86CF9"/>
    <w:rsid w:val="00B87EF6"/>
    <w:rsid w:val="00BA0CFF"/>
    <w:rsid w:val="00BC4148"/>
    <w:rsid w:val="00BD3457"/>
    <w:rsid w:val="00BF6509"/>
    <w:rsid w:val="00CF5668"/>
    <w:rsid w:val="00CF5E99"/>
    <w:rsid w:val="00D01B4A"/>
    <w:rsid w:val="00D24D46"/>
    <w:rsid w:val="00D4273B"/>
    <w:rsid w:val="00DB34F4"/>
    <w:rsid w:val="00E33D92"/>
    <w:rsid w:val="00EB036C"/>
    <w:rsid w:val="00EB1AF4"/>
    <w:rsid w:val="00F21F0A"/>
    <w:rsid w:val="00F57520"/>
    <w:rsid w:val="00F5753A"/>
    <w:rsid w:val="00F96F88"/>
    <w:rsid w:val="00FA5E47"/>
    <w:rsid w:val="00FC65FF"/>
    <w:rsid w:val="00FE7200"/>
    <w:rsid w:val="00FF6ED0"/>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5362">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A2DCF"/>
    <w:pPr>
      <w:jc w:val="both"/>
    </w:pPr>
    <w:rPr>
      <w:rFonts w:ascii="Times New Roman" w:hAnsi="Times New Roman"/>
      <w:sz w:val="24"/>
    </w:rPr>
  </w:style>
  <w:style w:type="paragraph" w:styleId="Heading1">
    <w:name w:val="heading 1"/>
    <w:basedOn w:val="Normal"/>
    <w:next w:val="Normal"/>
    <w:link w:val="Heading1Char"/>
    <w:uiPriority w:val="9"/>
    <w:qFormat/>
    <w:rsid w:val="00102378"/>
    <w:pPr>
      <w:keepNext/>
      <w:keepLines/>
      <w:numPr>
        <w:numId w:val="17"/>
      </w:numPr>
      <w:spacing w:before="480" w:after="0"/>
      <w:jc w:val="left"/>
      <w:outlineLvl w:val="0"/>
    </w:pPr>
    <w:rPr>
      <w:rFonts w:eastAsiaTheme="majorEastAsia" w:cstheme="majorBidi"/>
      <w:b/>
      <w:bCs/>
      <w:sz w:val="32"/>
      <w:szCs w:val="28"/>
    </w:rPr>
  </w:style>
  <w:style w:type="paragraph" w:styleId="Heading2">
    <w:name w:val="heading 2"/>
    <w:basedOn w:val="Heading1"/>
    <w:next w:val="Normal"/>
    <w:link w:val="Heading2Char"/>
    <w:uiPriority w:val="9"/>
    <w:unhideWhenUsed/>
    <w:qFormat/>
    <w:rsid w:val="00102378"/>
    <w:pPr>
      <w:numPr>
        <w:ilvl w:val="1"/>
      </w:numPr>
      <w:spacing w:before="200"/>
      <w:outlineLvl w:val="1"/>
    </w:pPr>
    <w:rPr>
      <w:sz w:val="28"/>
      <w:szCs w:val="26"/>
    </w:rPr>
  </w:style>
  <w:style w:type="paragraph" w:styleId="Heading3">
    <w:name w:val="heading 3"/>
    <w:basedOn w:val="Normal"/>
    <w:next w:val="Normal"/>
    <w:link w:val="Heading3Char"/>
    <w:uiPriority w:val="9"/>
    <w:unhideWhenUsed/>
    <w:qFormat/>
    <w:rsid w:val="00102378"/>
    <w:pPr>
      <w:keepNext/>
      <w:keepLines/>
      <w:numPr>
        <w:numId w:val="8"/>
      </w:numPr>
      <w:spacing w:before="200" w:after="0"/>
      <w:ind w:left="360"/>
      <w:jc w:val="left"/>
      <w:outlineLvl w:val="2"/>
    </w:pPr>
    <w:rPr>
      <w:rFonts w:eastAsiaTheme="majorEastAsia" w:cstheme="majorBid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8601D"/>
    <w:pPr>
      <w:ind w:left="720"/>
      <w:contextualSpacing/>
    </w:pPr>
  </w:style>
  <w:style w:type="character" w:customStyle="1" w:styleId="Heading2Char">
    <w:name w:val="Heading 2 Char"/>
    <w:basedOn w:val="DefaultParagraphFont"/>
    <w:link w:val="Heading2"/>
    <w:uiPriority w:val="9"/>
    <w:rsid w:val="00102378"/>
    <w:rPr>
      <w:rFonts w:ascii="Times New Roman" w:eastAsiaTheme="majorEastAsia" w:hAnsi="Times New Roman" w:cstheme="majorBidi"/>
      <w:b/>
      <w:bCs/>
      <w:sz w:val="28"/>
      <w:szCs w:val="26"/>
    </w:rPr>
  </w:style>
  <w:style w:type="character" w:customStyle="1" w:styleId="Heading3Char">
    <w:name w:val="Heading 3 Char"/>
    <w:basedOn w:val="DefaultParagraphFont"/>
    <w:link w:val="Heading3"/>
    <w:uiPriority w:val="9"/>
    <w:rsid w:val="00102378"/>
    <w:rPr>
      <w:rFonts w:ascii="Times New Roman" w:eastAsiaTheme="majorEastAsia" w:hAnsi="Times New Roman" w:cstheme="majorBidi"/>
      <w:b/>
      <w:bCs/>
      <w:sz w:val="24"/>
    </w:rPr>
  </w:style>
  <w:style w:type="paragraph" w:styleId="BalloonText">
    <w:name w:val="Balloon Text"/>
    <w:basedOn w:val="Normal"/>
    <w:link w:val="BalloonTextChar"/>
    <w:uiPriority w:val="99"/>
    <w:semiHidden/>
    <w:unhideWhenUsed/>
    <w:rsid w:val="00B86C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86CF9"/>
    <w:rPr>
      <w:rFonts w:ascii="Tahoma" w:hAnsi="Tahoma" w:cs="Tahoma"/>
      <w:sz w:val="16"/>
      <w:szCs w:val="16"/>
    </w:rPr>
  </w:style>
  <w:style w:type="character" w:customStyle="1" w:styleId="Heading1Char">
    <w:name w:val="Heading 1 Char"/>
    <w:basedOn w:val="DefaultParagraphFont"/>
    <w:link w:val="Heading1"/>
    <w:uiPriority w:val="9"/>
    <w:rsid w:val="00102378"/>
    <w:rPr>
      <w:rFonts w:ascii="Times New Roman" w:eastAsiaTheme="majorEastAsia" w:hAnsi="Times New Roman" w:cstheme="majorBidi"/>
      <w:b/>
      <w:bCs/>
      <w:sz w:val="32"/>
      <w:szCs w:val="28"/>
    </w:rPr>
  </w:style>
  <w:style w:type="table" w:styleId="TableGrid">
    <w:name w:val="Table Grid"/>
    <w:basedOn w:val="TableNormal"/>
    <w:uiPriority w:val="59"/>
    <w:rsid w:val="009E11E8"/>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FootnoteText">
    <w:name w:val="footnote text"/>
    <w:basedOn w:val="Normal"/>
    <w:link w:val="FootnoteTextChar"/>
    <w:uiPriority w:val="99"/>
    <w:semiHidden/>
    <w:unhideWhenUsed/>
    <w:rsid w:val="00EB036C"/>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B036C"/>
    <w:rPr>
      <w:rFonts w:ascii="Times New Roman" w:hAnsi="Times New Roman"/>
      <w:sz w:val="20"/>
      <w:szCs w:val="20"/>
    </w:rPr>
  </w:style>
  <w:style w:type="character" w:styleId="FootnoteReference">
    <w:name w:val="footnote reference"/>
    <w:basedOn w:val="DefaultParagraphFont"/>
    <w:uiPriority w:val="99"/>
    <w:semiHidden/>
    <w:unhideWhenUsed/>
    <w:rsid w:val="00EB036C"/>
    <w:rPr>
      <w:vertAlign w:val="superscript"/>
    </w:rPr>
  </w:style>
  <w:style w:type="character" w:styleId="Hyperlink">
    <w:name w:val="Hyperlink"/>
    <w:basedOn w:val="DefaultParagraphFont"/>
    <w:uiPriority w:val="99"/>
    <w:unhideWhenUsed/>
    <w:rsid w:val="00EB036C"/>
    <w:rPr>
      <w:color w:val="0000FF" w:themeColor="hyperlink"/>
      <w:u w:val="single"/>
    </w:rPr>
  </w:style>
  <w:style w:type="paragraph" w:styleId="Header">
    <w:name w:val="header"/>
    <w:basedOn w:val="Normal"/>
    <w:link w:val="HeaderChar"/>
    <w:uiPriority w:val="99"/>
    <w:semiHidden/>
    <w:unhideWhenUsed/>
    <w:rsid w:val="00D4273B"/>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D4273B"/>
    <w:rPr>
      <w:rFonts w:ascii="Times New Roman" w:hAnsi="Times New Roman"/>
      <w:sz w:val="24"/>
    </w:rPr>
  </w:style>
  <w:style w:type="paragraph" w:styleId="Footer">
    <w:name w:val="footer"/>
    <w:basedOn w:val="Normal"/>
    <w:link w:val="FooterChar"/>
    <w:uiPriority w:val="99"/>
    <w:semiHidden/>
    <w:unhideWhenUsed/>
    <w:rsid w:val="00D4273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D4273B"/>
    <w:rPr>
      <w:rFonts w:ascii="Times New Roman" w:hAnsi="Times New Roman"/>
      <w:sz w:val="24"/>
    </w:rPr>
  </w:style>
  <w:style w:type="paragraph" w:styleId="Bibliography">
    <w:name w:val="Bibliography"/>
    <w:basedOn w:val="Normal"/>
    <w:next w:val="Normal"/>
    <w:uiPriority w:val="37"/>
    <w:unhideWhenUsed/>
    <w:rsid w:val="001638D5"/>
  </w:style>
  <w:style w:type="paragraph" w:styleId="Caption">
    <w:name w:val="caption"/>
    <w:basedOn w:val="Normal"/>
    <w:next w:val="Normal"/>
    <w:uiPriority w:val="35"/>
    <w:unhideWhenUsed/>
    <w:qFormat/>
    <w:rsid w:val="006F56E9"/>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gsallen@stanford.edu"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tiff"/><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b:Source>
    <b:Tag>GS13Flexure</b:Tag>
    <b:SourceType>Report</b:SourceType>
    <b:Guid>{2313FFA1-6DE9-4B45-A59A-507B4852AD3B}</b:Guid>
    <b:LCID>0</b:LCID>
    <b:Author>
      <b:Author>
        <b:NameList>
          <b:Person>
            <b:Last>Daniel Clark</b:Last>
            <b:First>Brian</b:First>
            <b:Middle>Lantz</b:Middle>
          </b:Person>
        </b:NameList>
      </b:Author>
    </b:Author>
    <b:Title>Replacement Flexures for the GS-13 Seismometer</b:Title>
    <b:Year>2009</b:Year>
    <b:Institution>Stanford University</b:Institution>
    <b:ThesisType>LIGO DCC</b:ThesisType>
    <b:StandardNumber>T0900089-v1</b:StandardNumber>
    <b:RefOrder>1</b:RefOrder>
  </b:Source>
</b:Sources>
</file>

<file path=customXml/itemProps1.xml><?xml version="1.0" encoding="utf-8"?>
<ds:datastoreItem xmlns:ds="http://schemas.openxmlformats.org/officeDocument/2006/customXml" ds:itemID="{79733217-8EE9-4970-8637-D35D5FCDA7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1330</TotalTime>
  <Pages>6</Pages>
  <Words>1530</Words>
  <Characters>8724</Characters>
  <Application>Microsoft Office Word</Application>
  <DocSecurity>0</DocSecurity>
  <Lines>72</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10234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Graham S Allen</dc:creator>
  <cp:lastModifiedBy>Graham S Allen</cp:lastModifiedBy>
  <cp:revision>47</cp:revision>
  <dcterms:created xsi:type="dcterms:W3CDTF">2009-07-23T21:56:00Z</dcterms:created>
  <dcterms:modified xsi:type="dcterms:W3CDTF">2009-10-16T00:10:00Z</dcterms:modified>
</cp:coreProperties>
</file>