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6563" w14:textId="77777777" w:rsidR="005F48B2" w:rsidRDefault="005F48B2">
      <w:pPr>
        <w:pStyle w:val="PlainText"/>
        <w:jc w:val="center"/>
        <w:rPr>
          <w:i/>
          <w:sz w:val="36"/>
        </w:rPr>
      </w:pPr>
    </w:p>
    <w:p w14:paraId="4A2D80DF" w14:textId="77777777" w:rsidR="005F48B2" w:rsidRDefault="005F48B2">
      <w:pPr>
        <w:pStyle w:val="PlainText"/>
        <w:jc w:val="center"/>
        <w:rPr>
          <w:i/>
          <w:sz w:val="36"/>
        </w:rPr>
      </w:pPr>
      <w:r>
        <w:rPr>
          <w:i/>
          <w:sz w:val="36"/>
        </w:rPr>
        <w:t>LIGO Laboratory / LIGO Scientific Collaboration</w:t>
      </w:r>
    </w:p>
    <w:p w14:paraId="4EB5D928" w14:textId="77777777" w:rsidR="005F48B2" w:rsidRDefault="005F48B2">
      <w:pPr>
        <w:pStyle w:val="PlainText"/>
        <w:jc w:val="center"/>
        <w:rPr>
          <w:sz w:val="36"/>
        </w:rPr>
      </w:pPr>
    </w:p>
    <w:p w14:paraId="3158ADD2" w14:textId="77777777" w:rsidR="005F48B2" w:rsidRDefault="005F48B2">
      <w:pPr>
        <w:pStyle w:val="PlainText"/>
        <w:jc w:val="left"/>
        <w:rPr>
          <w:sz w:val="36"/>
        </w:rPr>
      </w:pPr>
    </w:p>
    <w:p w14:paraId="32112669" w14:textId="5F1512AE" w:rsidR="005F48B2" w:rsidRDefault="006C226C" w:rsidP="00832753">
      <w:pPr>
        <w:pBdr>
          <w:top w:val="threeDEmboss" w:sz="24" w:space="1" w:color="auto"/>
          <w:left w:val="threeDEmboss" w:sz="24" w:space="4" w:color="auto"/>
          <w:bottom w:val="threeDEmboss" w:sz="24" w:space="1" w:color="auto"/>
          <w:right w:val="threeDEmboss" w:sz="24" w:space="4" w:color="auto"/>
        </w:pBdr>
        <w:tabs>
          <w:tab w:val="center" w:pos="5040"/>
          <w:tab w:val="right" w:pos="9360"/>
        </w:tabs>
      </w:pPr>
      <w:r>
        <w:t>LIGO-</w:t>
      </w:r>
      <w:r w:rsidR="005F3995">
        <w:t>E</w:t>
      </w:r>
      <w:r>
        <w:t>11</w:t>
      </w:r>
      <w:r w:rsidR="001E7BCB">
        <w:t>0</w:t>
      </w:r>
      <w:r w:rsidR="005F3995">
        <w:t>1226</w:t>
      </w:r>
      <w:r w:rsidR="00F5292B">
        <w:t>-v</w:t>
      </w:r>
      <w:r w:rsidR="009113C8">
        <w:t>4</w:t>
      </w:r>
      <w:r w:rsidR="005F48B2">
        <w:tab/>
      </w:r>
      <w:r w:rsidR="005F48B2">
        <w:rPr>
          <w:rFonts w:ascii="Times" w:hAnsi="Times"/>
          <w:i/>
          <w:iCs/>
          <w:color w:val="0000FF"/>
          <w:sz w:val="40"/>
        </w:rPr>
        <w:t>LIGO</w:t>
      </w:r>
      <w:r w:rsidR="005F48B2">
        <w:tab/>
      </w:r>
      <w:r w:rsidR="009113C8">
        <w:t>16</w:t>
      </w:r>
      <w:r w:rsidR="007B0E1C">
        <w:t xml:space="preserve"> </w:t>
      </w:r>
      <w:r w:rsidR="009113C8">
        <w:t>Jul</w:t>
      </w:r>
      <w:r w:rsidR="007B0E1C">
        <w:t xml:space="preserve"> 20</w:t>
      </w:r>
      <w:r w:rsidR="009113C8">
        <w:t>25</w:t>
      </w:r>
    </w:p>
    <w:p w14:paraId="56FB4ACE" w14:textId="77777777" w:rsidR="005F48B2" w:rsidRDefault="00000000">
      <w:pPr>
        <w:pBdr>
          <w:top w:val="threeDEmboss" w:sz="24" w:space="1" w:color="auto"/>
          <w:left w:val="threeDEmboss" w:sz="24" w:space="4" w:color="auto"/>
          <w:bottom w:val="threeDEmboss" w:sz="24" w:space="1" w:color="auto"/>
          <w:right w:val="threeDEmboss" w:sz="24" w:space="4" w:color="auto"/>
        </w:pBdr>
      </w:pPr>
      <w:r>
        <w:pict w14:anchorId="0F67C779">
          <v:rect id="_x0000_i1025" style="width:0;height:1.5pt" o:hralign="center" o:hrstd="t" o:hr="t" fillcolor="gray" stroked="f"/>
        </w:pict>
      </w:r>
    </w:p>
    <w:p w14:paraId="0171B7AD" w14:textId="77777777" w:rsidR="005F48B2" w:rsidRPr="007760BB" w:rsidRDefault="005F3995">
      <w:pPr>
        <w:pStyle w:val="BodyText"/>
        <w:pBdr>
          <w:top w:val="threeDEmboss" w:sz="24" w:space="1" w:color="auto"/>
          <w:left w:val="threeDEmboss" w:sz="24" w:space="4" w:color="auto"/>
          <w:bottom w:val="threeDEmboss" w:sz="24" w:space="1" w:color="auto"/>
          <w:right w:val="threeDEmboss" w:sz="24" w:space="4" w:color="auto"/>
        </w:pBdr>
        <w:rPr>
          <w:i/>
        </w:rPr>
      </w:pPr>
      <w:r>
        <w:t>Proof Test Levels for Advanced LIGO Viewports</w:t>
      </w:r>
    </w:p>
    <w:p w14:paraId="02A01E79" w14:textId="77777777" w:rsidR="005F48B2" w:rsidRDefault="00000000">
      <w:pPr>
        <w:pBdr>
          <w:top w:val="threeDEmboss" w:sz="24" w:space="1" w:color="auto"/>
          <w:left w:val="threeDEmboss" w:sz="24" w:space="4" w:color="auto"/>
          <w:bottom w:val="threeDEmboss" w:sz="24" w:space="1" w:color="auto"/>
          <w:right w:val="threeDEmboss" w:sz="24" w:space="4" w:color="auto"/>
        </w:pBdr>
      </w:pPr>
      <w:r>
        <w:pict w14:anchorId="1B5C25C1">
          <v:rect id="_x0000_i1026" style="width:0;height:1.5pt" o:hralign="center" o:hrstd="t" o:hr="t" fillcolor="gray" stroked="f"/>
        </w:pict>
      </w:r>
    </w:p>
    <w:p w14:paraId="53BDCB65" w14:textId="77777777" w:rsidR="005F48B2" w:rsidRDefault="006C226C">
      <w:pPr>
        <w:pBdr>
          <w:top w:val="threeDEmboss" w:sz="24" w:space="1" w:color="auto"/>
          <w:left w:val="threeDEmboss" w:sz="24" w:space="4" w:color="auto"/>
          <w:bottom w:val="threeDEmboss" w:sz="24" w:space="1" w:color="auto"/>
          <w:right w:val="threeDEmboss" w:sz="24" w:space="4" w:color="auto"/>
        </w:pBdr>
        <w:jc w:val="center"/>
      </w:pPr>
      <w:r>
        <w:t>Dennis Coyne</w:t>
      </w:r>
    </w:p>
    <w:p w14:paraId="3330B2F3" w14:textId="77777777" w:rsidR="005F48B2" w:rsidRDefault="005F48B2">
      <w:pPr>
        <w:pStyle w:val="PlainText"/>
        <w:spacing w:before="0"/>
        <w:jc w:val="center"/>
      </w:pPr>
    </w:p>
    <w:p w14:paraId="6E4DE9EB" w14:textId="77777777" w:rsidR="005F48B2" w:rsidRDefault="005F48B2">
      <w:pPr>
        <w:pStyle w:val="PlainText"/>
        <w:spacing w:before="0"/>
        <w:jc w:val="center"/>
      </w:pPr>
      <w:r>
        <w:t>Distribution of this document:</w:t>
      </w:r>
    </w:p>
    <w:p w14:paraId="3E13CDD0" w14:textId="77777777" w:rsidR="005F48B2" w:rsidRDefault="00E66298">
      <w:pPr>
        <w:pStyle w:val="PlainText"/>
        <w:spacing w:before="0"/>
        <w:jc w:val="center"/>
      </w:pPr>
      <w:r>
        <w:t>LIGO Scientific</w:t>
      </w:r>
      <w:r w:rsidR="005F48B2">
        <w:t xml:space="preserve"> Collaboration</w:t>
      </w:r>
    </w:p>
    <w:p w14:paraId="18CB7EB4" w14:textId="77777777" w:rsidR="005F48B2" w:rsidRDefault="005F48B2">
      <w:pPr>
        <w:pStyle w:val="PlainText"/>
        <w:spacing w:before="0"/>
        <w:jc w:val="center"/>
      </w:pPr>
    </w:p>
    <w:p w14:paraId="51C88692" w14:textId="77777777" w:rsidR="005F48B2" w:rsidRDefault="005F48B2">
      <w:pPr>
        <w:pStyle w:val="PlainText"/>
        <w:spacing w:before="0"/>
        <w:jc w:val="center"/>
      </w:pPr>
      <w:r>
        <w:t>This is an internal working note</w:t>
      </w:r>
    </w:p>
    <w:p w14:paraId="14DF7E4F" w14:textId="77777777" w:rsidR="005F48B2" w:rsidRDefault="00E66298">
      <w:pPr>
        <w:pStyle w:val="PlainText"/>
        <w:spacing w:before="0"/>
        <w:jc w:val="center"/>
      </w:pPr>
      <w:r>
        <w:t>of the LIGO Laboratory</w:t>
      </w:r>
      <w:r w:rsidR="005F48B2">
        <w:t>.</w:t>
      </w:r>
    </w:p>
    <w:p w14:paraId="5CFD6C6C" w14:textId="77777777" w:rsidR="005F48B2" w:rsidRDefault="005F48B2">
      <w:pPr>
        <w:pStyle w:val="PlainText"/>
        <w:spacing w:before="0"/>
        <w:jc w:val="left"/>
      </w:pPr>
    </w:p>
    <w:tbl>
      <w:tblPr>
        <w:tblW w:w="0" w:type="auto"/>
        <w:tblLook w:val="0000" w:firstRow="0" w:lastRow="0" w:firstColumn="0" w:lastColumn="0" w:noHBand="0" w:noVBand="0"/>
      </w:tblPr>
      <w:tblGrid>
        <w:gridCol w:w="4802"/>
        <w:gridCol w:w="4788"/>
      </w:tblGrid>
      <w:tr w:rsidR="005F48B2" w14:paraId="5ABB1241" w14:textId="77777777">
        <w:tc>
          <w:tcPr>
            <w:tcW w:w="4909" w:type="dxa"/>
          </w:tcPr>
          <w:p w14:paraId="01354F45" w14:textId="77777777" w:rsidR="005F48B2" w:rsidRDefault="005F48B2">
            <w:pPr>
              <w:pStyle w:val="PlainText"/>
              <w:spacing w:before="0"/>
              <w:jc w:val="center"/>
              <w:rPr>
                <w:b/>
                <w:bCs/>
                <w:color w:val="808080"/>
              </w:rPr>
            </w:pPr>
            <w:r>
              <w:rPr>
                <w:b/>
                <w:bCs/>
                <w:color w:val="808080"/>
              </w:rPr>
              <w:t>California Institute of Technology</w:t>
            </w:r>
          </w:p>
          <w:p w14:paraId="752EA9FC" w14:textId="77777777" w:rsidR="005F48B2" w:rsidRDefault="005F48B2">
            <w:pPr>
              <w:pStyle w:val="PlainText"/>
              <w:spacing w:before="0"/>
              <w:jc w:val="center"/>
              <w:rPr>
                <w:b/>
                <w:bCs/>
                <w:color w:val="808080"/>
              </w:rPr>
            </w:pPr>
            <w:r>
              <w:rPr>
                <w:b/>
                <w:bCs/>
                <w:color w:val="808080"/>
              </w:rPr>
              <w:t>LIGO Project – MS 18-34</w:t>
            </w:r>
          </w:p>
          <w:p w14:paraId="1A3C10ED" w14:textId="77777777" w:rsidR="005F48B2" w:rsidRPr="005F48B2" w:rsidRDefault="005F48B2">
            <w:pPr>
              <w:pStyle w:val="PlainText"/>
              <w:spacing w:before="0"/>
              <w:jc w:val="center"/>
              <w:rPr>
                <w:b/>
                <w:bCs/>
                <w:color w:val="808080"/>
                <w:lang w:val="it-IT"/>
              </w:rPr>
            </w:pPr>
            <w:r w:rsidRPr="005F48B2">
              <w:rPr>
                <w:b/>
                <w:bCs/>
                <w:color w:val="808080"/>
                <w:lang w:val="it-IT"/>
              </w:rPr>
              <w:t>1200 E. California Blvd.</w:t>
            </w:r>
          </w:p>
          <w:p w14:paraId="0D62142A" w14:textId="77777777" w:rsidR="005F48B2" w:rsidRPr="005F48B2" w:rsidRDefault="005F48B2">
            <w:pPr>
              <w:pStyle w:val="PlainText"/>
              <w:spacing w:before="0"/>
              <w:jc w:val="center"/>
              <w:rPr>
                <w:b/>
                <w:bCs/>
                <w:color w:val="808080"/>
                <w:lang w:val="it-IT"/>
              </w:rPr>
            </w:pPr>
            <w:r w:rsidRPr="005F48B2">
              <w:rPr>
                <w:b/>
                <w:bCs/>
                <w:color w:val="808080"/>
                <w:lang w:val="it-IT"/>
              </w:rPr>
              <w:t>Pasadena, CA 91125</w:t>
            </w:r>
          </w:p>
          <w:p w14:paraId="06AC4E5A" w14:textId="77777777" w:rsidR="005F48B2" w:rsidRPr="005F48B2" w:rsidRDefault="005F48B2">
            <w:pPr>
              <w:pStyle w:val="PlainText"/>
              <w:spacing w:before="0"/>
              <w:jc w:val="center"/>
              <w:rPr>
                <w:color w:val="808080"/>
                <w:lang w:val="it-IT"/>
              </w:rPr>
            </w:pPr>
            <w:r w:rsidRPr="005F48B2">
              <w:rPr>
                <w:color w:val="808080"/>
                <w:lang w:val="it-IT"/>
              </w:rPr>
              <w:t>Phone (626) 395-2129</w:t>
            </w:r>
          </w:p>
          <w:p w14:paraId="1B4683ED" w14:textId="77777777" w:rsidR="005F48B2" w:rsidRPr="005F48B2" w:rsidRDefault="005F48B2">
            <w:pPr>
              <w:pStyle w:val="PlainText"/>
              <w:spacing w:before="0"/>
              <w:jc w:val="center"/>
              <w:rPr>
                <w:color w:val="808080"/>
                <w:lang w:val="it-IT"/>
              </w:rPr>
            </w:pPr>
            <w:r w:rsidRPr="005F48B2">
              <w:rPr>
                <w:color w:val="808080"/>
                <w:lang w:val="it-IT"/>
              </w:rPr>
              <w:t>Fax (626) 304-9834</w:t>
            </w:r>
          </w:p>
          <w:p w14:paraId="7B3FDB88" w14:textId="77777777" w:rsidR="005F48B2" w:rsidRPr="005F48B2" w:rsidRDefault="005F48B2">
            <w:pPr>
              <w:pStyle w:val="PlainText"/>
              <w:spacing w:before="0"/>
              <w:jc w:val="center"/>
              <w:rPr>
                <w:color w:val="808080"/>
                <w:lang w:val="it-IT"/>
              </w:rPr>
            </w:pPr>
            <w:r w:rsidRPr="005F48B2">
              <w:rPr>
                <w:color w:val="808080"/>
                <w:lang w:val="it-IT"/>
              </w:rPr>
              <w:t>E-mail: info@ligo.caltech.edu</w:t>
            </w:r>
          </w:p>
        </w:tc>
        <w:tc>
          <w:tcPr>
            <w:tcW w:w="4909" w:type="dxa"/>
          </w:tcPr>
          <w:p w14:paraId="5BD5F8B3" w14:textId="77777777" w:rsidR="005F48B2" w:rsidRDefault="005F48B2">
            <w:pPr>
              <w:pStyle w:val="PlainText"/>
              <w:spacing w:before="0"/>
              <w:jc w:val="center"/>
              <w:rPr>
                <w:b/>
                <w:bCs/>
                <w:color w:val="808080"/>
              </w:rPr>
            </w:pPr>
            <w:r>
              <w:rPr>
                <w:b/>
                <w:bCs/>
                <w:color w:val="808080"/>
              </w:rPr>
              <w:t>Massachusetts Institute of Technology</w:t>
            </w:r>
          </w:p>
          <w:p w14:paraId="3AB2D474" w14:textId="77777777" w:rsidR="005F48B2" w:rsidRDefault="00E66298">
            <w:pPr>
              <w:pStyle w:val="PlainText"/>
              <w:spacing w:before="0"/>
              <w:jc w:val="center"/>
              <w:rPr>
                <w:b/>
                <w:bCs/>
                <w:color w:val="808080"/>
              </w:rPr>
            </w:pPr>
            <w:r>
              <w:rPr>
                <w:b/>
                <w:bCs/>
                <w:color w:val="808080"/>
              </w:rPr>
              <w:t>LIGO Project – NW22-295</w:t>
            </w:r>
          </w:p>
          <w:p w14:paraId="798D2F6B" w14:textId="77777777" w:rsidR="005F48B2" w:rsidRDefault="00E66298">
            <w:pPr>
              <w:pStyle w:val="PlainText"/>
              <w:spacing w:before="0"/>
              <w:jc w:val="center"/>
              <w:rPr>
                <w:b/>
                <w:bCs/>
                <w:color w:val="808080"/>
              </w:rPr>
            </w:pPr>
            <w:smartTag w:uri="urn:schemas-microsoft-com:office:smarttags" w:element="address">
              <w:smartTag w:uri="urn:schemas-microsoft-com:office:smarttags" w:element="Street">
                <w:r>
                  <w:rPr>
                    <w:b/>
                    <w:bCs/>
                    <w:color w:val="808080"/>
                  </w:rPr>
                  <w:t>18</w:t>
                </w:r>
                <w:r w:rsidR="005F48B2">
                  <w:rPr>
                    <w:b/>
                    <w:bCs/>
                    <w:color w:val="808080"/>
                  </w:rPr>
                  <w:t>5 Albany St</w:t>
                </w:r>
              </w:smartTag>
            </w:smartTag>
          </w:p>
          <w:p w14:paraId="38610E70" w14:textId="77777777" w:rsidR="005F48B2" w:rsidRDefault="005F48B2">
            <w:pPr>
              <w:pStyle w:val="PlainText"/>
              <w:spacing w:before="0"/>
              <w:jc w:val="center"/>
              <w:rPr>
                <w:b/>
                <w:bCs/>
                <w:color w:val="808080"/>
              </w:rPr>
            </w:pPr>
            <w:smartTag w:uri="urn:schemas-microsoft-com:office:smarttags" w:element="place">
              <w:smartTag w:uri="urn:schemas-microsoft-com:office:smarttags" w:element="City">
                <w:r>
                  <w:rPr>
                    <w:b/>
                    <w:bCs/>
                    <w:color w:val="808080"/>
                  </w:rPr>
                  <w:t>Cambridge</w:t>
                </w:r>
              </w:smartTag>
              <w:r>
                <w:rPr>
                  <w:b/>
                  <w:bCs/>
                  <w:color w:val="808080"/>
                </w:rPr>
                <w:t xml:space="preserve">, </w:t>
              </w:r>
              <w:smartTag w:uri="urn:schemas-microsoft-com:office:smarttags" w:element="State">
                <w:r>
                  <w:rPr>
                    <w:b/>
                    <w:bCs/>
                    <w:color w:val="808080"/>
                  </w:rPr>
                  <w:t>MA</w:t>
                </w:r>
              </w:smartTag>
              <w:r>
                <w:rPr>
                  <w:b/>
                  <w:bCs/>
                  <w:color w:val="808080"/>
                </w:rPr>
                <w:t xml:space="preserve"> </w:t>
              </w:r>
              <w:smartTag w:uri="urn:schemas-microsoft-com:office:smarttags" w:element="PostalCode">
                <w:r>
                  <w:rPr>
                    <w:b/>
                    <w:bCs/>
                    <w:color w:val="808080"/>
                  </w:rPr>
                  <w:t>02139</w:t>
                </w:r>
              </w:smartTag>
            </w:smartTag>
          </w:p>
          <w:p w14:paraId="7E73AE2F" w14:textId="77777777" w:rsidR="005F48B2" w:rsidRDefault="005F48B2">
            <w:pPr>
              <w:pStyle w:val="PlainText"/>
              <w:spacing w:before="0"/>
              <w:jc w:val="center"/>
              <w:rPr>
                <w:color w:val="808080"/>
              </w:rPr>
            </w:pPr>
            <w:r>
              <w:rPr>
                <w:color w:val="808080"/>
              </w:rPr>
              <w:t>Phone (617) 253-4824</w:t>
            </w:r>
          </w:p>
          <w:p w14:paraId="36EE3690" w14:textId="77777777" w:rsidR="005F48B2" w:rsidRDefault="005F48B2">
            <w:pPr>
              <w:pStyle w:val="PlainText"/>
              <w:spacing w:before="0"/>
              <w:jc w:val="center"/>
              <w:rPr>
                <w:color w:val="808080"/>
              </w:rPr>
            </w:pPr>
            <w:r>
              <w:rPr>
                <w:color w:val="808080"/>
              </w:rPr>
              <w:t>Fax (617) 253-7014</w:t>
            </w:r>
          </w:p>
          <w:p w14:paraId="6BB004F5" w14:textId="77777777" w:rsidR="005F48B2" w:rsidRDefault="005F48B2">
            <w:pPr>
              <w:pStyle w:val="PlainText"/>
              <w:spacing w:before="0"/>
              <w:jc w:val="center"/>
              <w:rPr>
                <w:color w:val="808080"/>
              </w:rPr>
            </w:pPr>
            <w:r>
              <w:rPr>
                <w:color w:val="808080"/>
              </w:rPr>
              <w:t>E-mail: info@ligo.mit.edu</w:t>
            </w:r>
          </w:p>
        </w:tc>
      </w:tr>
      <w:tr w:rsidR="005F48B2" w14:paraId="1B8C7CE9" w14:textId="77777777">
        <w:tc>
          <w:tcPr>
            <w:tcW w:w="4909" w:type="dxa"/>
          </w:tcPr>
          <w:p w14:paraId="55B82D24" w14:textId="77777777" w:rsidR="005F48B2" w:rsidRDefault="005F48B2">
            <w:pPr>
              <w:pStyle w:val="PlainText"/>
              <w:spacing w:before="0"/>
              <w:jc w:val="center"/>
              <w:rPr>
                <w:b/>
                <w:bCs/>
                <w:color w:val="808080"/>
              </w:rPr>
            </w:pPr>
          </w:p>
          <w:p w14:paraId="15A89CA4" w14:textId="77777777" w:rsidR="005F48B2" w:rsidRDefault="005F48B2">
            <w:pPr>
              <w:pStyle w:val="PlainText"/>
              <w:spacing w:before="0"/>
              <w:jc w:val="center"/>
              <w:rPr>
                <w:b/>
                <w:bCs/>
                <w:color w:val="808080"/>
              </w:rPr>
            </w:pPr>
            <w:r>
              <w:rPr>
                <w:b/>
                <w:bCs/>
                <w:color w:val="808080"/>
              </w:rPr>
              <w:t xml:space="preserve">LIGO </w:t>
            </w:r>
            <w:smartTag w:uri="urn:schemas-microsoft-com:office:smarttags" w:element="City">
              <w:smartTag w:uri="urn:schemas-microsoft-com:office:smarttags" w:element="place">
                <w:r>
                  <w:rPr>
                    <w:b/>
                    <w:bCs/>
                    <w:color w:val="808080"/>
                  </w:rPr>
                  <w:t>Hanford</w:t>
                </w:r>
              </w:smartTag>
            </w:smartTag>
            <w:r>
              <w:rPr>
                <w:b/>
                <w:bCs/>
                <w:color w:val="808080"/>
              </w:rPr>
              <w:t xml:space="preserve"> Observatory</w:t>
            </w:r>
          </w:p>
          <w:p w14:paraId="008DFBE6" w14:textId="77777777" w:rsidR="005F48B2" w:rsidRDefault="005F48B2" w:rsidP="00FB3DAE">
            <w:pPr>
              <w:pStyle w:val="PlainText"/>
              <w:spacing w:before="0"/>
              <w:jc w:val="center"/>
              <w:rPr>
                <w:b/>
                <w:bCs/>
                <w:color w:val="808080"/>
              </w:rPr>
            </w:pPr>
            <w:smartTag w:uri="urn:schemas-microsoft-com:office:smarttags" w:element="address">
              <w:smartTag w:uri="urn:schemas-microsoft-com:office:smarttags" w:element="Street">
                <w:r>
                  <w:rPr>
                    <w:b/>
                    <w:bCs/>
                    <w:color w:val="808080"/>
                  </w:rPr>
                  <w:t>P.O. Box</w:t>
                </w:r>
              </w:smartTag>
              <w:r>
                <w:rPr>
                  <w:b/>
                  <w:bCs/>
                  <w:color w:val="808080"/>
                </w:rPr>
                <w:t xml:space="preserve"> </w:t>
              </w:r>
              <w:r w:rsidR="00FB3DAE">
                <w:rPr>
                  <w:b/>
                  <w:bCs/>
                  <w:color w:val="808080"/>
                </w:rPr>
                <w:t>159</w:t>
              </w:r>
            </w:smartTag>
          </w:p>
          <w:p w14:paraId="6205627F" w14:textId="77777777" w:rsidR="005F48B2" w:rsidRDefault="005F48B2">
            <w:pPr>
              <w:pStyle w:val="PlainText"/>
              <w:spacing w:before="0"/>
              <w:jc w:val="center"/>
              <w:rPr>
                <w:b/>
                <w:bCs/>
                <w:color w:val="808080"/>
              </w:rPr>
            </w:pPr>
            <w:smartTag w:uri="urn:schemas-microsoft-com:office:smarttags" w:element="place">
              <w:smartTag w:uri="urn:schemas-microsoft-com:office:smarttags" w:element="City">
                <w:r>
                  <w:rPr>
                    <w:b/>
                    <w:bCs/>
                    <w:color w:val="808080"/>
                  </w:rPr>
                  <w:t>Richland</w:t>
                </w:r>
              </w:smartTag>
              <w:r>
                <w:rPr>
                  <w:b/>
                  <w:bCs/>
                  <w:color w:val="808080"/>
                </w:rPr>
                <w:t xml:space="preserve"> </w:t>
              </w:r>
              <w:smartTag w:uri="urn:schemas-microsoft-com:office:smarttags" w:element="State">
                <w:r>
                  <w:rPr>
                    <w:b/>
                    <w:bCs/>
                    <w:color w:val="808080"/>
                  </w:rPr>
                  <w:t>WA</w:t>
                </w:r>
              </w:smartTag>
              <w:r>
                <w:rPr>
                  <w:b/>
                  <w:bCs/>
                  <w:color w:val="808080"/>
                </w:rPr>
                <w:t xml:space="preserve"> </w:t>
              </w:r>
              <w:smartTag w:uri="urn:schemas-microsoft-com:office:smarttags" w:element="PostalCode">
                <w:r>
                  <w:rPr>
                    <w:b/>
                    <w:bCs/>
                    <w:color w:val="808080"/>
                  </w:rPr>
                  <w:t>99352</w:t>
                </w:r>
              </w:smartTag>
            </w:smartTag>
          </w:p>
          <w:p w14:paraId="03A087F8" w14:textId="77777777" w:rsidR="005F48B2" w:rsidRDefault="005F48B2">
            <w:pPr>
              <w:pStyle w:val="PlainText"/>
              <w:spacing w:before="0"/>
              <w:jc w:val="center"/>
              <w:rPr>
                <w:color w:val="808080"/>
              </w:rPr>
            </w:pPr>
            <w:r>
              <w:rPr>
                <w:color w:val="808080"/>
              </w:rPr>
              <w:t>Phone 509-372-8106</w:t>
            </w:r>
          </w:p>
          <w:p w14:paraId="408CEE44" w14:textId="77777777" w:rsidR="005F48B2" w:rsidRDefault="005F48B2">
            <w:pPr>
              <w:pStyle w:val="PlainText"/>
              <w:spacing w:before="0"/>
              <w:jc w:val="center"/>
              <w:rPr>
                <w:b/>
                <w:bCs/>
                <w:color w:val="808080"/>
              </w:rPr>
            </w:pPr>
            <w:r>
              <w:rPr>
                <w:color w:val="808080"/>
              </w:rPr>
              <w:t>Fax 509-372-8137</w:t>
            </w:r>
          </w:p>
        </w:tc>
        <w:tc>
          <w:tcPr>
            <w:tcW w:w="4909" w:type="dxa"/>
          </w:tcPr>
          <w:p w14:paraId="799D70E1" w14:textId="77777777" w:rsidR="005F48B2" w:rsidRDefault="005F48B2">
            <w:pPr>
              <w:pStyle w:val="PlainText"/>
              <w:spacing w:before="0"/>
              <w:jc w:val="center"/>
              <w:rPr>
                <w:b/>
                <w:bCs/>
                <w:color w:val="808080"/>
              </w:rPr>
            </w:pPr>
          </w:p>
          <w:p w14:paraId="28006133" w14:textId="77777777" w:rsidR="005F48B2" w:rsidRDefault="005F48B2">
            <w:pPr>
              <w:pStyle w:val="PlainText"/>
              <w:spacing w:before="0"/>
              <w:jc w:val="center"/>
              <w:rPr>
                <w:b/>
                <w:bCs/>
                <w:color w:val="808080"/>
              </w:rPr>
            </w:pPr>
            <w:r>
              <w:rPr>
                <w:b/>
                <w:bCs/>
                <w:color w:val="808080"/>
              </w:rPr>
              <w:t xml:space="preserve">LIGO </w:t>
            </w:r>
            <w:smartTag w:uri="urn:schemas-microsoft-com:office:smarttags" w:element="place">
              <w:r>
                <w:rPr>
                  <w:b/>
                  <w:bCs/>
                  <w:color w:val="808080"/>
                </w:rPr>
                <w:t>Livingston</w:t>
              </w:r>
            </w:smartTag>
            <w:r>
              <w:rPr>
                <w:b/>
                <w:bCs/>
                <w:color w:val="808080"/>
              </w:rPr>
              <w:t xml:space="preserve"> Observatory</w:t>
            </w:r>
          </w:p>
          <w:p w14:paraId="319DA5F0" w14:textId="77777777" w:rsidR="005F48B2" w:rsidRDefault="005F48B2">
            <w:pPr>
              <w:pStyle w:val="PlainText"/>
              <w:spacing w:before="0"/>
              <w:jc w:val="center"/>
              <w:rPr>
                <w:b/>
                <w:bCs/>
                <w:color w:val="808080"/>
              </w:rPr>
            </w:pPr>
            <w:smartTag w:uri="urn:schemas-microsoft-com:office:smarttags" w:element="address">
              <w:smartTag w:uri="urn:schemas-microsoft-com:office:smarttags" w:element="Street">
                <w:r>
                  <w:rPr>
                    <w:b/>
                    <w:bCs/>
                    <w:color w:val="808080"/>
                  </w:rPr>
                  <w:t>P.O. Box</w:t>
                </w:r>
              </w:smartTag>
              <w:r>
                <w:rPr>
                  <w:b/>
                  <w:bCs/>
                  <w:color w:val="808080"/>
                </w:rPr>
                <w:t xml:space="preserve"> 940</w:t>
              </w:r>
            </w:smartTag>
          </w:p>
          <w:p w14:paraId="07F3BBD0" w14:textId="77777777" w:rsidR="005F48B2" w:rsidRDefault="005F48B2">
            <w:pPr>
              <w:pStyle w:val="PlainText"/>
              <w:spacing w:before="0"/>
              <w:jc w:val="center"/>
              <w:rPr>
                <w:b/>
                <w:bCs/>
                <w:color w:val="808080"/>
              </w:rPr>
            </w:pPr>
            <w:smartTag w:uri="urn:schemas-microsoft-com:office:smarttags" w:element="place">
              <w:smartTag w:uri="urn:schemas-microsoft-com:office:smarttags" w:element="City">
                <w:r>
                  <w:rPr>
                    <w:b/>
                    <w:bCs/>
                    <w:color w:val="808080"/>
                  </w:rPr>
                  <w:t>Livingston</w:t>
                </w:r>
              </w:smartTag>
              <w:r>
                <w:rPr>
                  <w:b/>
                  <w:bCs/>
                  <w:color w:val="808080"/>
                </w:rPr>
                <w:t xml:space="preserve">, </w:t>
              </w:r>
              <w:smartTag w:uri="urn:schemas-microsoft-com:office:smarttags" w:element="State">
                <w:r>
                  <w:rPr>
                    <w:b/>
                    <w:bCs/>
                    <w:color w:val="808080"/>
                  </w:rPr>
                  <w:t>LA</w:t>
                </w:r>
              </w:smartTag>
              <w:r>
                <w:rPr>
                  <w:b/>
                  <w:bCs/>
                  <w:color w:val="808080"/>
                </w:rPr>
                <w:t xml:space="preserve">  </w:t>
              </w:r>
              <w:smartTag w:uri="urn:schemas-microsoft-com:office:smarttags" w:element="PostalCode">
                <w:r>
                  <w:rPr>
                    <w:b/>
                    <w:bCs/>
                    <w:color w:val="808080"/>
                  </w:rPr>
                  <w:t>70754</w:t>
                </w:r>
              </w:smartTag>
            </w:smartTag>
          </w:p>
          <w:p w14:paraId="2C78C2F3" w14:textId="77777777" w:rsidR="005F48B2" w:rsidRDefault="005F48B2">
            <w:pPr>
              <w:pStyle w:val="PlainText"/>
              <w:spacing w:before="0"/>
              <w:jc w:val="center"/>
              <w:rPr>
                <w:color w:val="808080"/>
              </w:rPr>
            </w:pPr>
            <w:r>
              <w:rPr>
                <w:color w:val="808080"/>
              </w:rPr>
              <w:t>Phone 225-686-3100</w:t>
            </w:r>
          </w:p>
          <w:p w14:paraId="2FDBBA72" w14:textId="77777777" w:rsidR="005F48B2" w:rsidRDefault="005F48B2">
            <w:pPr>
              <w:pStyle w:val="PlainText"/>
              <w:spacing w:before="0"/>
              <w:jc w:val="center"/>
              <w:rPr>
                <w:b/>
                <w:bCs/>
                <w:color w:val="808080"/>
              </w:rPr>
            </w:pPr>
            <w:r>
              <w:rPr>
                <w:color w:val="808080"/>
              </w:rPr>
              <w:t>Fax 225-686-7189</w:t>
            </w:r>
          </w:p>
        </w:tc>
      </w:tr>
    </w:tbl>
    <w:p w14:paraId="77A0B3C8" w14:textId="77777777" w:rsidR="005F48B2" w:rsidRDefault="005F48B2">
      <w:pPr>
        <w:pStyle w:val="PlainText"/>
        <w:jc w:val="center"/>
      </w:pPr>
      <w:r>
        <w:t>http://www.ligo.caltech.edu/</w:t>
      </w:r>
    </w:p>
    <w:p w14:paraId="6B1E0840" w14:textId="77777777" w:rsidR="00DD0F26" w:rsidRDefault="005F48B2" w:rsidP="00DD0F26">
      <w:r>
        <w:br w:type="page"/>
      </w:r>
    </w:p>
    <w:sdt>
      <w:sdtPr>
        <w:rPr>
          <w:rFonts w:ascii="Times New Roman" w:eastAsia="Times New Roman" w:hAnsi="Times New Roman" w:cs="Times New Roman"/>
          <w:b w:val="0"/>
          <w:bCs w:val="0"/>
          <w:color w:val="auto"/>
          <w:sz w:val="24"/>
          <w:szCs w:val="20"/>
          <w:lang w:eastAsia="en-US"/>
        </w:rPr>
        <w:id w:val="-84547479"/>
        <w:docPartObj>
          <w:docPartGallery w:val="Table of Contents"/>
          <w:docPartUnique/>
        </w:docPartObj>
      </w:sdtPr>
      <w:sdtEndPr>
        <w:rPr>
          <w:noProof/>
        </w:rPr>
      </w:sdtEndPr>
      <w:sdtContent>
        <w:p w14:paraId="7A2F5E2E" w14:textId="77777777" w:rsidR="00DD0F26" w:rsidRDefault="00DD0F26">
          <w:pPr>
            <w:pStyle w:val="TOCHeading"/>
          </w:pPr>
          <w:r>
            <w:t>Contents</w:t>
          </w:r>
        </w:p>
        <w:p w14:paraId="519BE193" w14:textId="310FFF07" w:rsidR="00BE68B9" w:rsidRDefault="00DD0F26">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r>
            <w:fldChar w:fldCharType="begin"/>
          </w:r>
          <w:r>
            <w:instrText xml:space="preserve"> TOC \o "1-3" \h \z \u </w:instrText>
          </w:r>
          <w:r>
            <w:fldChar w:fldCharType="separate"/>
          </w:r>
          <w:hyperlink w:anchor="_Toc203567546" w:history="1">
            <w:r w:rsidR="00BE68B9" w:rsidRPr="00655D8D">
              <w:rPr>
                <w:rStyle w:val="Hyperlink"/>
                <w:noProof/>
              </w:rPr>
              <w:t>1</w:t>
            </w:r>
            <w:r w:rsidR="00BE68B9">
              <w:rPr>
                <w:rFonts w:asciiTheme="minorHAnsi" w:eastAsiaTheme="minorEastAsia" w:hAnsiTheme="minorHAnsi" w:cstheme="minorBidi"/>
                <w:b w:val="0"/>
                <w:bCs w:val="0"/>
                <w:i w:val="0"/>
                <w:iCs w:val="0"/>
                <w:noProof/>
                <w:kern w:val="2"/>
                <w:szCs w:val="24"/>
                <w14:ligatures w14:val="standardContextual"/>
              </w:rPr>
              <w:tab/>
            </w:r>
            <w:r w:rsidR="00BE68B9" w:rsidRPr="00655D8D">
              <w:rPr>
                <w:rStyle w:val="Hyperlink"/>
                <w:noProof/>
              </w:rPr>
              <w:t>Introduction</w:t>
            </w:r>
            <w:r w:rsidR="00BE68B9">
              <w:rPr>
                <w:noProof/>
                <w:webHidden/>
              </w:rPr>
              <w:tab/>
            </w:r>
            <w:r w:rsidR="00BE68B9">
              <w:rPr>
                <w:noProof/>
                <w:webHidden/>
              </w:rPr>
              <w:fldChar w:fldCharType="begin"/>
            </w:r>
            <w:r w:rsidR="00BE68B9">
              <w:rPr>
                <w:noProof/>
                <w:webHidden/>
              </w:rPr>
              <w:instrText xml:space="preserve"> PAGEREF _Toc203567546 \h </w:instrText>
            </w:r>
            <w:r w:rsidR="00BE68B9">
              <w:rPr>
                <w:noProof/>
                <w:webHidden/>
              </w:rPr>
            </w:r>
            <w:r w:rsidR="00BE68B9">
              <w:rPr>
                <w:noProof/>
                <w:webHidden/>
              </w:rPr>
              <w:fldChar w:fldCharType="separate"/>
            </w:r>
            <w:r w:rsidR="00BE68B9">
              <w:rPr>
                <w:noProof/>
                <w:webHidden/>
              </w:rPr>
              <w:t>3</w:t>
            </w:r>
            <w:r w:rsidR="00BE68B9">
              <w:rPr>
                <w:noProof/>
                <w:webHidden/>
              </w:rPr>
              <w:fldChar w:fldCharType="end"/>
            </w:r>
          </w:hyperlink>
        </w:p>
        <w:p w14:paraId="6429A309" w14:textId="142FB103" w:rsidR="00BE68B9" w:rsidRDefault="00BE68B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203567547" w:history="1">
            <w:r w:rsidRPr="00655D8D">
              <w:rPr>
                <w:rStyle w:val="Hyperlink"/>
                <w:noProof/>
              </w:rPr>
              <w:t>2</w:t>
            </w:r>
            <w:r>
              <w:rPr>
                <w:rFonts w:asciiTheme="minorHAnsi" w:eastAsiaTheme="minorEastAsia" w:hAnsiTheme="minorHAnsi" w:cstheme="minorBidi"/>
                <w:b w:val="0"/>
                <w:bCs w:val="0"/>
                <w:i w:val="0"/>
                <w:iCs w:val="0"/>
                <w:noProof/>
                <w:kern w:val="2"/>
                <w:szCs w:val="24"/>
                <w14:ligatures w14:val="standardContextual"/>
              </w:rPr>
              <w:tab/>
            </w:r>
            <w:r w:rsidRPr="00655D8D">
              <w:rPr>
                <w:rStyle w:val="Hyperlink"/>
                <w:noProof/>
              </w:rPr>
              <w:t>Fracture Mechanics for Glasses</w:t>
            </w:r>
            <w:r>
              <w:rPr>
                <w:noProof/>
                <w:webHidden/>
              </w:rPr>
              <w:tab/>
            </w:r>
            <w:r>
              <w:rPr>
                <w:noProof/>
                <w:webHidden/>
              </w:rPr>
              <w:fldChar w:fldCharType="begin"/>
            </w:r>
            <w:r>
              <w:rPr>
                <w:noProof/>
                <w:webHidden/>
              </w:rPr>
              <w:instrText xml:space="preserve"> PAGEREF _Toc203567547 \h </w:instrText>
            </w:r>
            <w:r>
              <w:rPr>
                <w:noProof/>
                <w:webHidden/>
              </w:rPr>
            </w:r>
            <w:r>
              <w:rPr>
                <w:noProof/>
                <w:webHidden/>
              </w:rPr>
              <w:fldChar w:fldCharType="separate"/>
            </w:r>
            <w:r>
              <w:rPr>
                <w:noProof/>
                <w:webHidden/>
              </w:rPr>
              <w:t>3</w:t>
            </w:r>
            <w:r>
              <w:rPr>
                <w:noProof/>
                <w:webHidden/>
              </w:rPr>
              <w:fldChar w:fldCharType="end"/>
            </w:r>
          </w:hyperlink>
        </w:p>
        <w:p w14:paraId="2C6079EC" w14:textId="001F79B0" w:rsidR="00BE68B9" w:rsidRDefault="00BE68B9">
          <w:pPr>
            <w:pStyle w:val="TOC2"/>
            <w:tabs>
              <w:tab w:val="left" w:pos="960"/>
              <w:tab w:val="right" w:leader="dot" w:pos="9580"/>
            </w:tabs>
            <w:rPr>
              <w:rFonts w:asciiTheme="minorHAnsi" w:eastAsiaTheme="minorEastAsia" w:hAnsiTheme="minorHAnsi" w:cstheme="minorBidi"/>
              <w:b w:val="0"/>
              <w:bCs w:val="0"/>
              <w:noProof/>
              <w:kern w:val="2"/>
              <w:szCs w:val="24"/>
              <w14:ligatures w14:val="standardContextual"/>
            </w:rPr>
          </w:pPr>
          <w:hyperlink w:anchor="_Toc203567548" w:history="1">
            <w:r w:rsidRPr="00655D8D">
              <w:rPr>
                <w:rStyle w:val="Hyperlink"/>
                <w:noProof/>
              </w:rPr>
              <w:t>2.1</w:t>
            </w:r>
            <w:r>
              <w:rPr>
                <w:rFonts w:asciiTheme="minorHAnsi" w:eastAsiaTheme="minorEastAsia" w:hAnsiTheme="minorHAnsi" w:cstheme="minorBidi"/>
                <w:b w:val="0"/>
                <w:bCs w:val="0"/>
                <w:noProof/>
                <w:kern w:val="2"/>
                <w:szCs w:val="24"/>
                <w14:ligatures w14:val="standardContextual"/>
              </w:rPr>
              <w:tab/>
            </w:r>
            <w:r w:rsidRPr="00655D8D">
              <w:rPr>
                <w:rStyle w:val="Hyperlink"/>
                <w:noProof/>
              </w:rPr>
              <w:t>Formulation</w:t>
            </w:r>
            <w:r>
              <w:rPr>
                <w:noProof/>
                <w:webHidden/>
              </w:rPr>
              <w:tab/>
            </w:r>
            <w:r>
              <w:rPr>
                <w:noProof/>
                <w:webHidden/>
              </w:rPr>
              <w:fldChar w:fldCharType="begin"/>
            </w:r>
            <w:r>
              <w:rPr>
                <w:noProof/>
                <w:webHidden/>
              </w:rPr>
              <w:instrText xml:space="preserve"> PAGEREF _Toc203567548 \h </w:instrText>
            </w:r>
            <w:r>
              <w:rPr>
                <w:noProof/>
                <w:webHidden/>
              </w:rPr>
            </w:r>
            <w:r>
              <w:rPr>
                <w:noProof/>
                <w:webHidden/>
              </w:rPr>
              <w:fldChar w:fldCharType="separate"/>
            </w:r>
            <w:r>
              <w:rPr>
                <w:noProof/>
                <w:webHidden/>
              </w:rPr>
              <w:t>3</w:t>
            </w:r>
            <w:r>
              <w:rPr>
                <w:noProof/>
                <w:webHidden/>
              </w:rPr>
              <w:fldChar w:fldCharType="end"/>
            </w:r>
          </w:hyperlink>
        </w:p>
        <w:p w14:paraId="0C320A8F" w14:textId="629E6B7F" w:rsidR="00BE68B9" w:rsidRDefault="00BE68B9">
          <w:pPr>
            <w:pStyle w:val="TOC2"/>
            <w:tabs>
              <w:tab w:val="left" w:pos="960"/>
              <w:tab w:val="right" w:leader="dot" w:pos="9580"/>
            </w:tabs>
            <w:rPr>
              <w:rFonts w:asciiTheme="minorHAnsi" w:eastAsiaTheme="minorEastAsia" w:hAnsiTheme="minorHAnsi" w:cstheme="minorBidi"/>
              <w:b w:val="0"/>
              <w:bCs w:val="0"/>
              <w:noProof/>
              <w:kern w:val="2"/>
              <w:szCs w:val="24"/>
              <w14:ligatures w14:val="standardContextual"/>
            </w:rPr>
          </w:pPr>
          <w:hyperlink w:anchor="_Toc203567549" w:history="1">
            <w:r w:rsidRPr="00655D8D">
              <w:rPr>
                <w:rStyle w:val="Hyperlink"/>
                <w:noProof/>
              </w:rPr>
              <w:t>2.2</w:t>
            </w:r>
            <w:r>
              <w:rPr>
                <w:rFonts w:asciiTheme="minorHAnsi" w:eastAsiaTheme="minorEastAsia" w:hAnsiTheme="minorHAnsi" w:cstheme="minorBidi"/>
                <w:b w:val="0"/>
                <w:bCs w:val="0"/>
                <w:noProof/>
                <w:kern w:val="2"/>
                <w:szCs w:val="24"/>
                <w14:ligatures w14:val="standardContextual"/>
              </w:rPr>
              <w:tab/>
            </w:r>
            <w:r w:rsidRPr="00655D8D">
              <w:rPr>
                <w:rStyle w:val="Hyperlink"/>
                <w:noProof/>
              </w:rPr>
              <w:t>Material Properties</w:t>
            </w:r>
            <w:r>
              <w:rPr>
                <w:noProof/>
                <w:webHidden/>
              </w:rPr>
              <w:tab/>
            </w:r>
            <w:r>
              <w:rPr>
                <w:noProof/>
                <w:webHidden/>
              </w:rPr>
              <w:fldChar w:fldCharType="begin"/>
            </w:r>
            <w:r>
              <w:rPr>
                <w:noProof/>
                <w:webHidden/>
              </w:rPr>
              <w:instrText xml:space="preserve"> PAGEREF _Toc203567549 \h </w:instrText>
            </w:r>
            <w:r>
              <w:rPr>
                <w:noProof/>
                <w:webHidden/>
              </w:rPr>
            </w:r>
            <w:r>
              <w:rPr>
                <w:noProof/>
                <w:webHidden/>
              </w:rPr>
              <w:fldChar w:fldCharType="separate"/>
            </w:r>
            <w:r>
              <w:rPr>
                <w:noProof/>
                <w:webHidden/>
              </w:rPr>
              <w:t>4</w:t>
            </w:r>
            <w:r>
              <w:rPr>
                <w:noProof/>
                <w:webHidden/>
              </w:rPr>
              <w:fldChar w:fldCharType="end"/>
            </w:r>
          </w:hyperlink>
        </w:p>
        <w:p w14:paraId="76CBCFC9" w14:textId="6C7686FF" w:rsidR="00BE68B9" w:rsidRDefault="00BE68B9">
          <w:pPr>
            <w:pStyle w:val="TOC3"/>
            <w:tabs>
              <w:tab w:val="left" w:pos="1440"/>
              <w:tab w:val="right" w:leader="dot" w:pos="9580"/>
            </w:tabs>
            <w:rPr>
              <w:rFonts w:asciiTheme="minorHAnsi" w:eastAsiaTheme="minorEastAsia" w:hAnsiTheme="minorHAnsi" w:cstheme="minorBidi"/>
              <w:noProof/>
              <w:kern w:val="2"/>
              <w14:ligatures w14:val="standardContextual"/>
            </w:rPr>
          </w:pPr>
          <w:hyperlink w:anchor="_Toc203567550" w:history="1">
            <w:r w:rsidRPr="00655D8D">
              <w:rPr>
                <w:rStyle w:val="Hyperlink"/>
                <w:noProof/>
              </w:rPr>
              <w:t>2.2.1</w:t>
            </w:r>
            <w:r>
              <w:rPr>
                <w:rFonts w:asciiTheme="minorHAnsi" w:eastAsiaTheme="minorEastAsia" w:hAnsiTheme="minorHAnsi" w:cstheme="minorBidi"/>
                <w:noProof/>
                <w:kern w:val="2"/>
                <w14:ligatures w14:val="standardContextual"/>
              </w:rPr>
              <w:tab/>
            </w:r>
            <w:r w:rsidRPr="00655D8D">
              <w:rPr>
                <w:rStyle w:val="Hyperlink"/>
                <w:noProof/>
              </w:rPr>
              <w:t>Fused Silica (SiO</w:t>
            </w:r>
            <w:r w:rsidRPr="00655D8D">
              <w:rPr>
                <w:rStyle w:val="Hyperlink"/>
                <w:noProof/>
                <w:vertAlign w:val="subscript"/>
              </w:rPr>
              <w:t>2</w:t>
            </w:r>
            <w:r w:rsidRPr="00655D8D">
              <w:rPr>
                <w:rStyle w:val="Hyperlink"/>
                <w:noProof/>
              </w:rPr>
              <w:t>)</w:t>
            </w:r>
            <w:r>
              <w:rPr>
                <w:noProof/>
                <w:webHidden/>
              </w:rPr>
              <w:tab/>
            </w:r>
            <w:r>
              <w:rPr>
                <w:noProof/>
                <w:webHidden/>
              </w:rPr>
              <w:fldChar w:fldCharType="begin"/>
            </w:r>
            <w:r>
              <w:rPr>
                <w:noProof/>
                <w:webHidden/>
              </w:rPr>
              <w:instrText xml:space="preserve"> PAGEREF _Toc203567550 \h </w:instrText>
            </w:r>
            <w:r>
              <w:rPr>
                <w:noProof/>
                <w:webHidden/>
              </w:rPr>
            </w:r>
            <w:r>
              <w:rPr>
                <w:noProof/>
                <w:webHidden/>
              </w:rPr>
              <w:fldChar w:fldCharType="separate"/>
            </w:r>
            <w:r>
              <w:rPr>
                <w:noProof/>
                <w:webHidden/>
              </w:rPr>
              <w:t>4</w:t>
            </w:r>
            <w:r>
              <w:rPr>
                <w:noProof/>
                <w:webHidden/>
              </w:rPr>
              <w:fldChar w:fldCharType="end"/>
            </w:r>
          </w:hyperlink>
        </w:p>
        <w:p w14:paraId="03EF48EF" w14:textId="360054F2" w:rsidR="00BE68B9" w:rsidRDefault="00BE68B9">
          <w:pPr>
            <w:pStyle w:val="TOC3"/>
            <w:tabs>
              <w:tab w:val="left" w:pos="1440"/>
              <w:tab w:val="right" w:leader="dot" w:pos="9580"/>
            </w:tabs>
            <w:rPr>
              <w:rFonts w:asciiTheme="minorHAnsi" w:eastAsiaTheme="minorEastAsia" w:hAnsiTheme="minorHAnsi" w:cstheme="minorBidi"/>
              <w:noProof/>
              <w:kern w:val="2"/>
              <w14:ligatures w14:val="standardContextual"/>
            </w:rPr>
          </w:pPr>
          <w:hyperlink w:anchor="_Toc203567551" w:history="1">
            <w:r w:rsidRPr="00655D8D">
              <w:rPr>
                <w:rStyle w:val="Hyperlink"/>
                <w:noProof/>
              </w:rPr>
              <w:t>2.2.2</w:t>
            </w:r>
            <w:r>
              <w:rPr>
                <w:rFonts w:asciiTheme="minorHAnsi" w:eastAsiaTheme="minorEastAsia" w:hAnsiTheme="minorHAnsi" w:cstheme="minorBidi"/>
                <w:noProof/>
                <w:kern w:val="2"/>
                <w14:ligatures w14:val="standardContextual"/>
              </w:rPr>
              <w:tab/>
            </w:r>
            <w:r w:rsidRPr="00655D8D">
              <w:rPr>
                <w:rStyle w:val="Hyperlink"/>
                <w:noProof/>
              </w:rPr>
              <w:t>Corning 7056 Alkali Borosilicate Glass</w:t>
            </w:r>
            <w:r>
              <w:rPr>
                <w:noProof/>
                <w:webHidden/>
              </w:rPr>
              <w:tab/>
            </w:r>
            <w:r>
              <w:rPr>
                <w:noProof/>
                <w:webHidden/>
              </w:rPr>
              <w:fldChar w:fldCharType="begin"/>
            </w:r>
            <w:r>
              <w:rPr>
                <w:noProof/>
                <w:webHidden/>
              </w:rPr>
              <w:instrText xml:space="preserve"> PAGEREF _Toc203567551 \h </w:instrText>
            </w:r>
            <w:r>
              <w:rPr>
                <w:noProof/>
                <w:webHidden/>
              </w:rPr>
            </w:r>
            <w:r>
              <w:rPr>
                <w:noProof/>
                <w:webHidden/>
              </w:rPr>
              <w:fldChar w:fldCharType="separate"/>
            </w:r>
            <w:r>
              <w:rPr>
                <w:noProof/>
                <w:webHidden/>
              </w:rPr>
              <w:t>4</w:t>
            </w:r>
            <w:r>
              <w:rPr>
                <w:noProof/>
                <w:webHidden/>
              </w:rPr>
              <w:fldChar w:fldCharType="end"/>
            </w:r>
          </w:hyperlink>
        </w:p>
        <w:p w14:paraId="0DCDB67E" w14:textId="16309F50" w:rsidR="00BE68B9" w:rsidRDefault="00BE68B9">
          <w:pPr>
            <w:pStyle w:val="TOC3"/>
            <w:tabs>
              <w:tab w:val="left" w:pos="1440"/>
              <w:tab w:val="right" w:leader="dot" w:pos="9580"/>
            </w:tabs>
            <w:rPr>
              <w:rFonts w:asciiTheme="minorHAnsi" w:eastAsiaTheme="minorEastAsia" w:hAnsiTheme="minorHAnsi" w:cstheme="minorBidi"/>
              <w:noProof/>
              <w:kern w:val="2"/>
              <w14:ligatures w14:val="standardContextual"/>
            </w:rPr>
          </w:pPr>
          <w:hyperlink w:anchor="_Toc203567552" w:history="1">
            <w:r w:rsidRPr="00655D8D">
              <w:rPr>
                <w:rStyle w:val="Hyperlink"/>
                <w:noProof/>
              </w:rPr>
              <w:t>2.2.3</w:t>
            </w:r>
            <w:r>
              <w:rPr>
                <w:rFonts w:asciiTheme="minorHAnsi" w:eastAsiaTheme="minorEastAsia" w:hAnsiTheme="minorHAnsi" w:cstheme="minorBidi"/>
                <w:noProof/>
                <w:kern w:val="2"/>
                <w14:ligatures w14:val="standardContextual"/>
              </w:rPr>
              <w:tab/>
            </w:r>
            <w:r w:rsidRPr="00655D8D">
              <w:rPr>
                <w:rStyle w:val="Hyperlink"/>
                <w:noProof/>
              </w:rPr>
              <w:t>Zinc Selenide (ZnSe)</w:t>
            </w:r>
            <w:r>
              <w:rPr>
                <w:noProof/>
                <w:webHidden/>
              </w:rPr>
              <w:tab/>
            </w:r>
            <w:r>
              <w:rPr>
                <w:noProof/>
                <w:webHidden/>
              </w:rPr>
              <w:fldChar w:fldCharType="begin"/>
            </w:r>
            <w:r>
              <w:rPr>
                <w:noProof/>
                <w:webHidden/>
              </w:rPr>
              <w:instrText xml:space="preserve"> PAGEREF _Toc203567552 \h </w:instrText>
            </w:r>
            <w:r>
              <w:rPr>
                <w:noProof/>
                <w:webHidden/>
              </w:rPr>
            </w:r>
            <w:r>
              <w:rPr>
                <w:noProof/>
                <w:webHidden/>
              </w:rPr>
              <w:fldChar w:fldCharType="separate"/>
            </w:r>
            <w:r>
              <w:rPr>
                <w:noProof/>
                <w:webHidden/>
              </w:rPr>
              <w:t>5</w:t>
            </w:r>
            <w:r>
              <w:rPr>
                <w:noProof/>
                <w:webHidden/>
              </w:rPr>
              <w:fldChar w:fldCharType="end"/>
            </w:r>
          </w:hyperlink>
        </w:p>
        <w:p w14:paraId="27DEC60F" w14:textId="14163547" w:rsidR="00BE68B9" w:rsidRDefault="00BE68B9">
          <w:pPr>
            <w:pStyle w:val="TOC3"/>
            <w:tabs>
              <w:tab w:val="left" w:pos="1440"/>
              <w:tab w:val="right" w:leader="dot" w:pos="9580"/>
            </w:tabs>
            <w:rPr>
              <w:rFonts w:asciiTheme="minorHAnsi" w:eastAsiaTheme="minorEastAsia" w:hAnsiTheme="minorHAnsi" w:cstheme="minorBidi"/>
              <w:noProof/>
              <w:kern w:val="2"/>
              <w14:ligatures w14:val="standardContextual"/>
            </w:rPr>
          </w:pPr>
          <w:hyperlink w:anchor="_Toc203567553" w:history="1">
            <w:r w:rsidRPr="00655D8D">
              <w:rPr>
                <w:rStyle w:val="Hyperlink"/>
                <w:noProof/>
              </w:rPr>
              <w:t>2.2.4</w:t>
            </w:r>
            <w:r>
              <w:rPr>
                <w:rFonts w:asciiTheme="minorHAnsi" w:eastAsiaTheme="minorEastAsia" w:hAnsiTheme="minorHAnsi" w:cstheme="minorBidi"/>
                <w:noProof/>
                <w:kern w:val="2"/>
                <w14:ligatures w14:val="standardContextual"/>
              </w:rPr>
              <w:tab/>
            </w:r>
            <w:r w:rsidRPr="00655D8D">
              <w:rPr>
                <w:rStyle w:val="Hyperlink"/>
                <w:noProof/>
              </w:rPr>
              <w:t>Calcium Flouride (CaF2)</w:t>
            </w:r>
            <w:r>
              <w:rPr>
                <w:noProof/>
                <w:webHidden/>
              </w:rPr>
              <w:tab/>
            </w:r>
            <w:r>
              <w:rPr>
                <w:noProof/>
                <w:webHidden/>
              </w:rPr>
              <w:fldChar w:fldCharType="begin"/>
            </w:r>
            <w:r>
              <w:rPr>
                <w:noProof/>
                <w:webHidden/>
              </w:rPr>
              <w:instrText xml:space="preserve"> PAGEREF _Toc203567553 \h </w:instrText>
            </w:r>
            <w:r>
              <w:rPr>
                <w:noProof/>
                <w:webHidden/>
              </w:rPr>
            </w:r>
            <w:r>
              <w:rPr>
                <w:noProof/>
                <w:webHidden/>
              </w:rPr>
              <w:fldChar w:fldCharType="separate"/>
            </w:r>
            <w:r>
              <w:rPr>
                <w:noProof/>
                <w:webHidden/>
              </w:rPr>
              <w:t>6</w:t>
            </w:r>
            <w:r>
              <w:rPr>
                <w:noProof/>
                <w:webHidden/>
              </w:rPr>
              <w:fldChar w:fldCharType="end"/>
            </w:r>
          </w:hyperlink>
        </w:p>
        <w:p w14:paraId="2860EF76" w14:textId="1E294AF5" w:rsidR="00BE68B9" w:rsidRDefault="00BE68B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203567554" w:history="1">
            <w:r w:rsidRPr="00655D8D">
              <w:rPr>
                <w:rStyle w:val="Hyperlink"/>
                <w:noProof/>
              </w:rPr>
              <w:t>3</w:t>
            </w:r>
            <w:r>
              <w:rPr>
                <w:rFonts w:asciiTheme="minorHAnsi" w:eastAsiaTheme="minorEastAsia" w:hAnsiTheme="minorHAnsi" w:cstheme="minorBidi"/>
                <w:b w:val="0"/>
                <w:bCs w:val="0"/>
                <w:i w:val="0"/>
                <w:iCs w:val="0"/>
                <w:noProof/>
                <w:kern w:val="2"/>
                <w:szCs w:val="24"/>
                <w14:ligatures w14:val="standardContextual"/>
              </w:rPr>
              <w:tab/>
            </w:r>
            <w:r w:rsidRPr="00655D8D">
              <w:rPr>
                <w:rStyle w:val="Hyperlink"/>
                <w:noProof/>
              </w:rPr>
              <w:t>Stress</w:t>
            </w:r>
            <w:r>
              <w:rPr>
                <w:noProof/>
                <w:webHidden/>
              </w:rPr>
              <w:tab/>
            </w:r>
            <w:r>
              <w:rPr>
                <w:noProof/>
                <w:webHidden/>
              </w:rPr>
              <w:fldChar w:fldCharType="begin"/>
            </w:r>
            <w:r>
              <w:rPr>
                <w:noProof/>
                <w:webHidden/>
              </w:rPr>
              <w:instrText xml:space="preserve"> PAGEREF _Toc203567554 \h </w:instrText>
            </w:r>
            <w:r>
              <w:rPr>
                <w:noProof/>
                <w:webHidden/>
              </w:rPr>
            </w:r>
            <w:r>
              <w:rPr>
                <w:noProof/>
                <w:webHidden/>
              </w:rPr>
              <w:fldChar w:fldCharType="separate"/>
            </w:r>
            <w:r>
              <w:rPr>
                <w:noProof/>
                <w:webHidden/>
              </w:rPr>
              <w:t>6</w:t>
            </w:r>
            <w:r>
              <w:rPr>
                <w:noProof/>
                <w:webHidden/>
              </w:rPr>
              <w:fldChar w:fldCharType="end"/>
            </w:r>
          </w:hyperlink>
        </w:p>
        <w:p w14:paraId="29CF5CAF" w14:textId="34965CEE" w:rsidR="00BE68B9" w:rsidRDefault="00BE68B9">
          <w:pPr>
            <w:pStyle w:val="TOC2"/>
            <w:tabs>
              <w:tab w:val="left" w:pos="960"/>
              <w:tab w:val="right" w:leader="dot" w:pos="9580"/>
            </w:tabs>
            <w:rPr>
              <w:rFonts w:asciiTheme="minorHAnsi" w:eastAsiaTheme="minorEastAsia" w:hAnsiTheme="minorHAnsi" w:cstheme="minorBidi"/>
              <w:b w:val="0"/>
              <w:bCs w:val="0"/>
              <w:noProof/>
              <w:kern w:val="2"/>
              <w:szCs w:val="24"/>
              <w14:ligatures w14:val="standardContextual"/>
            </w:rPr>
          </w:pPr>
          <w:hyperlink w:anchor="_Toc203567555" w:history="1">
            <w:r w:rsidRPr="00655D8D">
              <w:rPr>
                <w:rStyle w:val="Hyperlink"/>
                <w:noProof/>
              </w:rPr>
              <w:t>3.1</w:t>
            </w:r>
            <w:r>
              <w:rPr>
                <w:rFonts w:asciiTheme="minorHAnsi" w:eastAsiaTheme="minorEastAsia" w:hAnsiTheme="minorHAnsi" w:cstheme="minorBidi"/>
                <w:b w:val="0"/>
                <w:bCs w:val="0"/>
                <w:noProof/>
                <w:kern w:val="2"/>
                <w:szCs w:val="24"/>
                <w14:ligatures w14:val="standardContextual"/>
              </w:rPr>
              <w:tab/>
            </w:r>
            <w:r w:rsidRPr="00655D8D">
              <w:rPr>
                <w:rStyle w:val="Hyperlink"/>
                <w:noProof/>
              </w:rPr>
              <w:t>Stress due to the Pressure Load</w:t>
            </w:r>
            <w:r>
              <w:rPr>
                <w:noProof/>
                <w:webHidden/>
              </w:rPr>
              <w:tab/>
            </w:r>
            <w:r>
              <w:rPr>
                <w:noProof/>
                <w:webHidden/>
              </w:rPr>
              <w:fldChar w:fldCharType="begin"/>
            </w:r>
            <w:r>
              <w:rPr>
                <w:noProof/>
                <w:webHidden/>
              </w:rPr>
              <w:instrText xml:space="preserve"> PAGEREF _Toc203567555 \h </w:instrText>
            </w:r>
            <w:r>
              <w:rPr>
                <w:noProof/>
                <w:webHidden/>
              </w:rPr>
            </w:r>
            <w:r>
              <w:rPr>
                <w:noProof/>
                <w:webHidden/>
              </w:rPr>
              <w:fldChar w:fldCharType="separate"/>
            </w:r>
            <w:r>
              <w:rPr>
                <w:noProof/>
                <w:webHidden/>
              </w:rPr>
              <w:t>6</w:t>
            </w:r>
            <w:r>
              <w:rPr>
                <w:noProof/>
                <w:webHidden/>
              </w:rPr>
              <w:fldChar w:fldCharType="end"/>
            </w:r>
          </w:hyperlink>
        </w:p>
        <w:p w14:paraId="13235EBF" w14:textId="1EA0F347" w:rsidR="00BE68B9" w:rsidRDefault="00BE68B9">
          <w:pPr>
            <w:pStyle w:val="TOC2"/>
            <w:tabs>
              <w:tab w:val="left" w:pos="960"/>
              <w:tab w:val="right" w:leader="dot" w:pos="9580"/>
            </w:tabs>
            <w:rPr>
              <w:rFonts w:asciiTheme="minorHAnsi" w:eastAsiaTheme="minorEastAsia" w:hAnsiTheme="minorHAnsi" w:cstheme="minorBidi"/>
              <w:b w:val="0"/>
              <w:bCs w:val="0"/>
              <w:noProof/>
              <w:kern w:val="2"/>
              <w:szCs w:val="24"/>
              <w14:ligatures w14:val="standardContextual"/>
            </w:rPr>
          </w:pPr>
          <w:hyperlink w:anchor="_Toc203567556" w:history="1">
            <w:r w:rsidRPr="00655D8D">
              <w:rPr>
                <w:rStyle w:val="Hyperlink"/>
                <w:noProof/>
              </w:rPr>
              <w:t>3.2</w:t>
            </w:r>
            <w:r>
              <w:rPr>
                <w:rFonts w:asciiTheme="minorHAnsi" w:eastAsiaTheme="minorEastAsia" w:hAnsiTheme="minorHAnsi" w:cstheme="minorBidi"/>
                <w:b w:val="0"/>
                <w:bCs w:val="0"/>
                <w:noProof/>
                <w:kern w:val="2"/>
                <w:szCs w:val="24"/>
                <w14:ligatures w14:val="standardContextual"/>
              </w:rPr>
              <w:tab/>
            </w:r>
            <w:r w:rsidRPr="00655D8D">
              <w:rPr>
                <w:rStyle w:val="Hyperlink"/>
                <w:noProof/>
              </w:rPr>
              <w:t>Thermal Stress</w:t>
            </w:r>
            <w:r>
              <w:rPr>
                <w:noProof/>
                <w:webHidden/>
              </w:rPr>
              <w:tab/>
            </w:r>
            <w:r>
              <w:rPr>
                <w:noProof/>
                <w:webHidden/>
              </w:rPr>
              <w:fldChar w:fldCharType="begin"/>
            </w:r>
            <w:r>
              <w:rPr>
                <w:noProof/>
                <w:webHidden/>
              </w:rPr>
              <w:instrText xml:space="preserve"> PAGEREF _Toc203567556 \h </w:instrText>
            </w:r>
            <w:r>
              <w:rPr>
                <w:noProof/>
                <w:webHidden/>
              </w:rPr>
            </w:r>
            <w:r>
              <w:rPr>
                <w:noProof/>
                <w:webHidden/>
              </w:rPr>
              <w:fldChar w:fldCharType="separate"/>
            </w:r>
            <w:r>
              <w:rPr>
                <w:noProof/>
                <w:webHidden/>
              </w:rPr>
              <w:t>7</w:t>
            </w:r>
            <w:r>
              <w:rPr>
                <w:noProof/>
                <w:webHidden/>
              </w:rPr>
              <w:fldChar w:fldCharType="end"/>
            </w:r>
          </w:hyperlink>
        </w:p>
        <w:p w14:paraId="4EF68F91" w14:textId="18219925" w:rsidR="00BE68B9" w:rsidRDefault="00BE68B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203567557" w:history="1">
            <w:r w:rsidRPr="00655D8D">
              <w:rPr>
                <w:rStyle w:val="Hyperlink"/>
                <w:noProof/>
              </w:rPr>
              <w:t>4</w:t>
            </w:r>
            <w:r>
              <w:rPr>
                <w:rFonts w:asciiTheme="minorHAnsi" w:eastAsiaTheme="minorEastAsia" w:hAnsiTheme="minorHAnsi" w:cstheme="minorBidi"/>
                <w:b w:val="0"/>
                <w:bCs w:val="0"/>
                <w:i w:val="0"/>
                <w:iCs w:val="0"/>
                <w:noProof/>
                <w:kern w:val="2"/>
                <w:szCs w:val="24"/>
                <w14:ligatures w14:val="standardContextual"/>
              </w:rPr>
              <w:tab/>
            </w:r>
            <w:r w:rsidRPr="00655D8D">
              <w:rPr>
                <w:rStyle w:val="Hyperlink"/>
                <w:noProof/>
              </w:rPr>
              <w:t>Proof Test</w:t>
            </w:r>
            <w:r>
              <w:rPr>
                <w:noProof/>
                <w:webHidden/>
              </w:rPr>
              <w:tab/>
            </w:r>
            <w:r>
              <w:rPr>
                <w:noProof/>
                <w:webHidden/>
              </w:rPr>
              <w:fldChar w:fldCharType="begin"/>
            </w:r>
            <w:r>
              <w:rPr>
                <w:noProof/>
                <w:webHidden/>
              </w:rPr>
              <w:instrText xml:space="preserve"> PAGEREF _Toc203567557 \h </w:instrText>
            </w:r>
            <w:r>
              <w:rPr>
                <w:noProof/>
                <w:webHidden/>
              </w:rPr>
            </w:r>
            <w:r>
              <w:rPr>
                <w:noProof/>
                <w:webHidden/>
              </w:rPr>
              <w:fldChar w:fldCharType="separate"/>
            </w:r>
            <w:r>
              <w:rPr>
                <w:noProof/>
                <w:webHidden/>
              </w:rPr>
              <w:t>7</w:t>
            </w:r>
            <w:r>
              <w:rPr>
                <w:noProof/>
                <w:webHidden/>
              </w:rPr>
              <w:fldChar w:fldCharType="end"/>
            </w:r>
          </w:hyperlink>
        </w:p>
        <w:p w14:paraId="63EE80C5" w14:textId="0DA28CD0" w:rsidR="00BE68B9" w:rsidRDefault="00BE68B9">
          <w:pPr>
            <w:pStyle w:val="TOC1"/>
            <w:tabs>
              <w:tab w:val="left" w:pos="480"/>
              <w:tab w:val="right" w:leader="dot" w:pos="9580"/>
            </w:tabs>
            <w:rPr>
              <w:rFonts w:asciiTheme="minorHAnsi" w:eastAsiaTheme="minorEastAsia" w:hAnsiTheme="minorHAnsi" w:cstheme="minorBidi"/>
              <w:b w:val="0"/>
              <w:bCs w:val="0"/>
              <w:i w:val="0"/>
              <w:iCs w:val="0"/>
              <w:noProof/>
              <w:kern w:val="2"/>
              <w:szCs w:val="24"/>
              <w14:ligatures w14:val="standardContextual"/>
            </w:rPr>
          </w:pPr>
          <w:hyperlink w:anchor="_Toc203567558" w:history="1">
            <w:r w:rsidRPr="00655D8D">
              <w:rPr>
                <w:rStyle w:val="Hyperlink"/>
                <w:noProof/>
              </w:rPr>
              <w:t>5</w:t>
            </w:r>
            <w:r>
              <w:rPr>
                <w:rFonts w:asciiTheme="minorHAnsi" w:eastAsiaTheme="minorEastAsia" w:hAnsiTheme="minorHAnsi" w:cstheme="minorBidi"/>
                <w:b w:val="0"/>
                <w:bCs w:val="0"/>
                <w:i w:val="0"/>
                <w:iCs w:val="0"/>
                <w:noProof/>
                <w:kern w:val="2"/>
                <w:szCs w:val="24"/>
                <w14:ligatures w14:val="standardContextual"/>
              </w:rPr>
              <w:tab/>
            </w:r>
            <w:r w:rsidRPr="00655D8D">
              <w:rPr>
                <w:rStyle w:val="Hyperlink"/>
                <w:noProof/>
              </w:rPr>
              <w:t>Internal Overpressure Limit</w:t>
            </w:r>
            <w:r>
              <w:rPr>
                <w:noProof/>
                <w:webHidden/>
              </w:rPr>
              <w:tab/>
            </w:r>
            <w:r>
              <w:rPr>
                <w:noProof/>
                <w:webHidden/>
              </w:rPr>
              <w:fldChar w:fldCharType="begin"/>
            </w:r>
            <w:r>
              <w:rPr>
                <w:noProof/>
                <w:webHidden/>
              </w:rPr>
              <w:instrText xml:space="preserve"> PAGEREF _Toc203567558 \h </w:instrText>
            </w:r>
            <w:r>
              <w:rPr>
                <w:noProof/>
                <w:webHidden/>
              </w:rPr>
            </w:r>
            <w:r>
              <w:rPr>
                <w:noProof/>
                <w:webHidden/>
              </w:rPr>
              <w:fldChar w:fldCharType="separate"/>
            </w:r>
            <w:r>
              <w:rPr>
                <w:noProof/>
                <w:webHidden/>
              </w:rPr>
              <w:t>8</w:t>
            </w:r>
            <w:r>
              <w:rPr>
                <w:noProof/>
                <w:webHidden/>
              </w:rPr>
              <w:fldChar w:fldCharType="end"/>
            </w:r>
          </w:hyperlink>
        </w:p>
        <w:p w14:paraId="2EC615C3" w14:textId="4FCEF043" w:rsidR="00DD0F26" w:rsidRPr="00682DC5" w:rsidRDefault="00DD0F26">
          <w:pPr>
            <w:rPr>
              <w:b/>
              <w:bCs/>
              <w:noProof/>
            </w:rPr>
          </w:pPr>
          <w:r>
            <w:rPr>
              <w:b/>
              <w:bCs/>
              <w:noProof/>
            </w:rPr>
            <w:fldChar w:fldCharType="end"/>
          </w:r>
        </w:p>
      </w:sdtContent>
    </w:sdt>
    <w:p w14:paraId="003D9377" w14:textId="77777777" w:rsidR="00682DC5" w:rsidRPr="00CE6141" w:rsidRDefault="00CE6141" w:rsidP="00DD0F26">
      <w:pPr>
        <w:rPr>
          <w:rFonts w:asciiTheme="majorHAnsi" w:hAnsiTheme="majorHAnsi"/>
          <w:b/>
          <w:color w:val="365F91" w:themeColor="accent1" w:themeShade="BF"/>
          <w:sz w:val="28"/>
          <w:szCs w:val="28"/>
        </w:rPr>
      </w:pPr>
      <w:r w:rsidRPr="00CE6141">
        <w:rPr>
          <w:rFonts w:asciiTheme="majorHAnsi" w:hAnsiTheme="majorHAnsi"/>
          <w:b/>
          <w:color w:val="365F91" w:themeColor="accent1" w:themeShade="BF"/>
          <w:sz w:val="28"/>
          <w:szCs w:val="28"/>
        </w:rPr>
        <w:t>List of Tables</w:t>
      </w:r>
    </w:p>
    <w:p w14:paraId="51D2AC19" w14:textId="24F66FB5" w:rsidR="00BE68B9" w:rsidRDefault="00CE6141">
      <w:pPr>
        <w:pStyle w:val="TableofFigures"/>
        <w:rPr>
          <w:rFonts w:asciiTheme="minorHAnsi" w:eastAsiaTheme="minorEastAsia" w:hAnsiTheme="minorHAnsi" w:cstheme="minorBidi"/>
          <w:i w:val="0"/>
          <w:iCs w:val="0"/>
          <w:noProof/>
          <w:kern w:val="2"/>
          <w14:ligatures w14:val="standardContextual"/>
        </w:rPr>
      </w:pPr>
      <w:r>
        <w:fldChar w:fldCharType="begin"/>
      </w:r>
      <w:r>
        <w:instrText xml:space="preserve"> TOC \h \z \c "Table" </w:instrText>
      </w:r>
      <w:r>
        <w:fldChar w:fldCharType="separate"/>
      </w:r>
      <w:hyperlink w:anchor="_Toc203567559" w:history="1">
        <w:r w:rsidR="00BE68B9" w:rsidRPr="00A571C4">
          <w:rPr>
            <w:rStyle w:val="Hyperlink"/>
            <w:noProof/>
          </w:rPr>
          <w:t>Table 1: Proof Test Levels</w:t>
        </w:r>
        <w:r w:rsidR="00BE68B9">
          <w:rPr>
            <w:noProof/>
            <w:webHidden/>
          </w:rPr>
          <w:tab/>
        </w:r>
        <w:r w:rsidR="00BE68B9">
          <w:rPr>
            <w:noProof/>
            <w:webHidden/>
          </w:rPr>
          <w:fldChar w:fldCharType="begin"/>
        </w:r>
        <w:r w:rsidR="00BE68B9">
          <w:rPr>
            <w:noProof/>
            <w:webHidden/>
          </w:rPr>
          <w:instrText xml:space="preserve"> PAGEREF _Toc203567559 \h </w:instrText>
        </w:r>
        <w:r w:rsidR="00BE68B9">
          <w:rPr>
            <w:noProof/>
            <w:webHidden/>
          </w:rPr>
        </w:r>
        <w:r w:rsidR="00BE68B9">
          <w:rPr>
            <w:noProof/>
            <w:webHidden/>
          </w:rPr>
          <w:fldChar w:fldCharType="separate"/>
        </w:r>
        <w:r w:rsidR="00BE68B9">
          <w:rPr>
            <w:noProof/>
            <w:webHidden/>
          </w:rPr>
          <w:t>10</w:t>
        </w:r>
        <w:r w:rsidR="00BE68B9">
          <w:rPr>
            <w:noProof/>
            <w:webHidden/>
          </w:rPr>
          <w:fldChar w:fldCharType="end"/>
        </w:r>
      </w:hyperlink>
    </w:p>
    <w:p w14:paraId="1A211B98" w14:textId="2D431E13" w:rsidR="00BE68B9" w:rsidRDefault="00BE68B9">
      <w:pPr>
        <w:pStyle w:val="TableofFigures"/>
        <w:rPr>
          <w:rFonts w:asciiTheme="minorHAnsi" w:eastAsiaTheme="minorEastAsia" w:hAnsiTheme="minorHAnsi" w:cstheme="minorBidi"/>
          <w:i w:val="0"/>
          <w:iCs w:val="0"/>
          <w:noProof/>
          <w:kern w:val="2"/>
          <w14:ligatures w14:val="standardContextual"/>
        </w:rPr>
      </w:pPr>
      <w:hyperlink w:anchor="_Toc203567560" w:history="1">
        <w:r w:rsidRPr="00A571C4">
          <w:rPr>
            <w:rStyle w:val="Hyperlink"/>
            <w:noProof/>
          </w:rPr>
          <w:t>Table 2: Internal Overpressure Limits</w:t>
        </w:r>
        <w:r>
          <w:rPr>
            <w:noProof/>
            <w:webHidden/>
          </w:rPr>
          <w:tab/>
        </w:r>
        <w:r>
          <w:rPr>
            <w:noProof/>
            <w:webHidden/>
          </w:rPr>
          <w:fldChar w:fldCharType="begin"/>
        </w:r>
        <w:r>
          <w:rPr>
            <w:noProof/>
            <w:webHidden/>
          </w:rPr>
          <w:instrText xml:space="preserve"> PAGEREF _Toc203567560 \h </w:instrText>
        </w:r>
        <w:r>
          <w:rPr>
            <w:noProof/>
            <w:webHidden/>
          </w:rPr>
        </w:r>
        <w:r>
          <w:rPr>
            <w:noProof/>
            <w:webHidden/>
          </w:rPr>
          <w:fldChar w:fldCharType="separate"/>
        </w:r>
        <w:r>
          <w:rPr>
            <w:noProof/>
            <w:webHidden/>
          </w:rPr>
          <w:t>10</w:t>
        </w:r>
        <w:r>
          <w:rPr>
            <w:noProof/>
            <w:webHidden/>
          </w:rPr>
          <w:fldChar w:fldCharType="end"/>
        </w:r>
      </w:hyperlink>
    </w:p>
    <w:p w14:paraId="41FD0532" w14:textId="032C47E6" w:rsidR="00CE6141" w:rsidRDefault="00CE6141" w:rsidP="00DD0F26">
      <w:r>
        <w:fldChar w:fldCharType="end"/>
      </w:r>
    </w:p>
    <w:p w14:paraId="22BD2842" w14:textId="77777777" w:rsidR="00CE6141" w:rsidRDefault="00CE6141">
      <w:pPr>
        <w:spacing w:before="0"/>
        <w:jc w:val="left"/>
      </w:pPr>
      <w:r>
        <w:br w:type="page"/>
      </w:r>
    </w:p>
    <w:p w14:paraId="4DBE1E54" w14:textId="77777777" w:rsidR="005F48B2" w:rsidRDefault="005F48B2">
      <w:pPr>
        <w:pStyle w:val="Heading1"/>
      </w:pPr>
      <w:bookmarkStart w:id="0" w:name="_Toc203567546"/>
      <w:r>
        <w:lastRenderedPageBreak/>
        <w:t>Introduction</w:t>
      </w:r>
      <w:bookmarkEnd w:id="0"/>
    </w:p>
    <w:p w14:paraId="119E58C1" w14:textId="77777777" w:rsidR="00BE4E70" w:rsidRDefault="00BE4E70">
      <w:r>
        <w:t>T</w:t>
      </w:r>
      <w:r w:rsidRPr="00054E1C">
        <w:t>he “</w:t>
      </w:r>
      <w:r>
        <w:t xml:space="preserve">LIGO </w:t>
      </w:r>
      <w:r w:rsidRPr="00054E1C">
        <w:t>Generic Requirements &amp; Sta</w:t>
      </w:r>
      <w:r>
        <w:t>ndards for Detector Subsystems”</w:t>
      </w:r>
      <w:r w:rsidR="00DC1471">
        <w:rPr>
          <w:rStyle w:val="FootnoteReference"/>
        </w:rPr>
        <w:footnoteReference w:id="1"/>
      </w:r>
      <w:r w:rsidRPr="00054E1C">
        <w:t xml:space="preserve"> calls for inert environment, proof testing for all brittle, non-metallic materials on the vacuum envelope.</w:t>
      </w:r>
      <w:r>
        <w:t xml:space="preserve"> </w:t>
      </w:r>
      <w:r w:rsidR="00014693">
        <w:t xml:space="preserve">The minimum proof test factor for pressurized brittle, non-metallic materials is 2.0. Better than proof testing at the minimum test factor is </w:t>
      </w:r>
      <w:r>
        <w:t>to proof test at a stress which guarantees the desired minimum lifetime</w:t>
      </w:r>
      <w:r>
        <w:rPr>
          <w:rStyle w:val="FootnoteReference"/>
        </w:rPr>
        <w:footnoteReference w:id="2"/>
      </w:r>
      <w:r w:rsidR="00154993" w:rsidRPr="00D271D7">
        <w:rPr>
          <w:vertAlign w:val="superscript"/>
        </w:rPr>
        <w:t>,</w:t>
      </w:r>
      <w:r w:rsidR="00154993">
        <w:rPr>
          <w:rStyle w:val="FootnoteReference"/>
        </w:rPr>
        <w:footnoteReference w:id="3"/>
      </w:r>
      <w:r>
        <w:t>.</w:t>
      </w:r>
      <w:r w:rsidR="0085416D">
        <w:t xml:space="preserve"> </w:t>
      </w:r>
      <w:r w:rsidR="0094377C">
        <w:t>In this memo the appropriate proof test level</w:t>
      </w:r>
      <w:r w:rsidR="00C276C4">
        <w:t>s,</w:t>
      </w:r>
      <w:r w:rsidR="0094377C">
        <w:t xml:space="preserve"> based on fracture mechanics</w:t>
      </w:r>
      <w:r w:rsidR="00C276C4">
        <w:t>,</w:t>
      </w:r>
      <w:r w:rsidR="0094377C">
        <w:t xml:space="preserve"> are calculated for each of the Advanced LIGO (</w:t>
      </w:r>
      <w:proofErr w:type="spellStart"/>
      <w:r w:rsidR="0094377C">
        <w:t>aLIGO</w:t>
      </w:r>
      <w:proofErr w:type="spellEnd"/>
      <w:r w:rsidR="0094377C">
        <w:t>) viewports.</w:t>
      </w:r>
    </w:p>
    <w:p w14:paraId="02BFAE99" w14:textId="77777777" w:rsidR="00DD0F26" w:rsidRDefault="00BE4E70">
      <w:pPr>
        <w:pStyle w:val="Heading1"/>
      </w:pPr>
      <w:bookmarkStart w:id="1" w:name="_Toc203567547"/>
      <w:r>
        <w:t>Fracture Mechanic</w:t>
      </w:r>
      <w:r w:rsidR="00DD0F26">
        <w:t>s</w:t>
      </w:r>
      <w:r w:rsidR="004E7460">
        <w:t xml:space="preserve"> for Glasses</w:t>
      </w:r>
      <w:bookmarkEnd w:id="1"/>
    </w:p>
    <w:p w14:paraId="0E99C5D4" w14:textId="77777777" w:rsidR="004E7460" w:rsidRPr="004E7460" w:rsidRDefault="004E7460" w:rsidP="004E7460">
      <w:pPr>
        <w:pStyle w:val="Heading2"/>
      </w:pPr>
      <w:bookmarkStart w:id="2" w:name="_Toc203567548"/>
      <w:r>
        <w:t>Formulation</w:t>
      </w:r>
      <w:bookmarkEnd w:id="2"/>
    </w:p>
    <w:p w14:paraId="3C4709DE" w14:textId="77777777" w:rsidR="00030FFC" w:rsidRDefault="00CD7EB7" w:rsidP="00732CCD">
      <w:r>
        <w:t>It is well established that subcritical crack growth</w:t>
      </w:r>
      <w:r w:rsidR="00E35D45">
        <w:t>, or slow crack growth (SCG),</w:t>
      </w:r>
      <w:r>
        <w:t xml:space="preserve"> in glasses and ceramics, in environments containing water vapor, is caused by a tensile stress enhanced, chemical corrosion at the tip of pre-existing surface flaws</w:t>
      </w:r>
      <w:bookmarkStart w:id="3" w:name="_Ref303438452"/>
      <w:r w:rsidR="007F6BC2">
        <w:rPr>
          <w:rStyle w:val="FootnoteReference"/>
        </w:rPr>
        <w:footnoteReference w:id="4"/>
      </w:r>
      <w:bookmarkEnd w:id="3"/>
      <w:r w:rsidR="00343193">
        <w:t xml:space="preserve">. This phenomenon is known as “delayed failure” or “static fatigue”. </w:t>
      </w:r>
    </w:p>
    <w:p w14:paraId="0C526ECE" w14:textId="77777777" w:rsidR="00030FFC" w:rsidRDefault="000A5A8C" w:rsidP="00732CCD">
      <w:r>
        <w:t xml:space="preserve">Weiderhorn et. al. found that some glasses exhibited subcritical crack growth in vacuum, whereas some other glasses did not (including two that had anomalous elastic behavior and an Ultra-Low Expansion (ULE) glass). I am unaware of any studies on subcritical crack growth for </w:t>
      </w:r>
      <w:r w:rsidR="004E7460">
        <w:t>the optical materials that we use in our</w:t>
      </w:r>
      <w:r>
        <w:t xml:space="preserve"> vacuum</w:t>
      </w:r>
      <w:r w:rsidR="004E7460">
        <w:t xml:space="preserve"> viewports</w:t>
      </w:r>
      <w:r>
        <w:t xml:space="preserve">. </w:t>
      </w:r>
      <w:r w:rsidR="00101D4E">
        <w:t xml:space="preserve">It is possible (even likely) that </w:t>
      </w:r>
      <w:r w:rsidR="004E7460">
        <w:t>these materials do</w:t>
      </w:r>
      <w:r w:rsidR="00101D4E">
        <w:t xml:space="preserve"> not exhibit subcritical crack growth (static fatigue) while under vacuum. However, it is important to consider the lifetime and strength due to static fatigue in this application, because (a) the viewports are cycled up to air multiple times and for </w:t>
      </w:r>
      <w:r w:rsidR="004E7460">
        <w:t>significant durations during their</w:t>
      </w:r>
      <w:r w:rsidR="00101D4E">
        <w:t xml:space="preserve"> lifetime and (b) there can be tensile stresses on the air side of the viewport windows (</w:t>
      </w:r>
      <w:r w:rsidR="004E7460">
        <w:t>associated with the compressive loading of the seal or due to slight overpressure when venting</w:t>
      </w:r>
      <w:r w:rsidR="00101D4E">
        <w:t>).</w:t>
      </w:r>
    </w:p>
    <w:p w14:paraId="5171908E" w14:textId="77777777" w:rsidR="00732CCD" w:rsidRDefault="00343193" w:rsidP="00732CCD">
      <w:r>
        <w:t xml:space="preserve">Pre-existing flaws grow in size under the service load (stress) to </w:t>
      </w:r>
      <w:r w:rsidR="00485648">
        <w:t>a critical size at which a crack propagates quickly.</w:t>
      </w:r>
      <w:r w:rsidR="00710E1A">
        <w:t xml:space="preserve"> The subcritical growth can be expressed </w:t>
      </w:r>
      <w:r w:rsidR="005C576D">
        <w:t>as a power function of the stress intensity factor, K</w:t>
      </w:r>
      <w:r w:rsidR="005C576D" w:rsidRPr="005A4F73">
        <w:rPr>
          <w:vertAlign w:val="subscript"/>
        </w:rPr>
        <w:t>I</w:t>
      </w:r>
      <w:r w:rsidR="005C576D">
        <w:t>:</w:t>
      </w:r>
    </w:p>
    <w:p w14:paraId="0CC36883" w14:textId="77777777" w:rsidR="005C576D" w:rsidRDefault="004D22A3" w:rsidP="004D22A3">
      <w:pPr>
        <w:ind w:firstLine="720"/>
      </w:pPr>
      <w:r w:rsidRPr="004D22A3">
        <w:rPr>
          <w:position w:val="-10"/>
        </w:rPr>
        <w:object w:dxaOrig="960" w:dyaOrig="360" w14:anchorId="39212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8pt;height:18.25pt" o:ole="">
            <v:imagedata r:id="rId8" o:title=""/>
          </v:shape>
          <o:OLEObject Type="Embed" ProgID="Equation.3" ShapeID="_x0000_i1027" DrawAspect="Content" ObjectID="_1814180602" r:id="rId9"/>
        </w:object>
      </w:r>
    </w:p>
    <w:p w14:paraId="3F8D23A9" w14:textId="77777777" w:rsidR="005C576D" w:rsidRDefault="004D22A3" w:rsidP="00732CCD">
      <w:r>
        <w:t>w</w:t>
      </w:r>
      <w:r w:rsidR="005C576D">
        <w:t xml:space="preserve">here </w:t>
      </w:r>
      <w:r>
        <w:t>V is the crack velocity, A and N are constants that depend on the environment and material composition.</w:t>
      </w:r>
      <w:r w:rsidR="004F5836">
        <w:t xml:space="preserve"> From this equation it can be derived that the time to failure, t</w:t>
      </w:r>
      <w:r w:rsidR="004F5836" w:rsidRPr="00A36C3E">
        <w:rPr>
          <w:vertAlign w:val="subscript"/>
        </w:rPr>
        <w:t>f</w:t>
      </w:r>
      <w:r w:rsidR="004F5836">
        <w:t xml:space="preserve">, under a constant tensile stress, </w:t>
      </w:r>
      <w:r w:rsidR="00A36C3E">
        <w:rPr>
          <w:rFonts w:ascii="Calibri" w:hAnsi="Calibri" w:cs="Calibri"/>
        </w:rPr>
        <w:t>σ</w:t>
      </w:r>
      <w:r w:rsidR="004F5836" w:rsidRPr="00A36C3E">
        <w:rPr>
          <w:vertAlign w:val="subscript"/>
        </w:rPr>
        <w:t>a</w:t>
      </w:r>
      <w:r w:rsidR="004F5836">
        <w:t>, is:</w:t>
      </w:r>
    </w:p>
    <w:p w14:paraId="249DDB78" w14:textId="77777777" w:rsidR="004F5836" w:rsidRDefault="004F5836" w:rsidP="004F5836">
      <w:pPr>
        <w:ind w:firstLine="720"/>
      </w:pPr>
      <w:r w:rsidRPr="004F5836">
        <w:rPr>
          <w:position w:val="-14"/>
        </w:rPr>
        <w:object w:dxaOrig="1480" w:dyaOrig="400" w14:anchorId="48745543">
          <v:shape id="_x0000_i1028" type="#_x0000_t75" style="width:73.6pt;height:19.9pt" o:ole="">
            <v:imagedata r:id="rId10" o:title=""/>
          </v:shape>
          <o:OLEObject Type="Embed" ProgID="Equation.3" ShapeID="_x0000_i1028" DrawAspect="Content" ObjectID="_1814180603" r:id="rId11"/>
        </w:object>
      </w:r>
    </w:p>
    <w:p w14:paraId="56F95299" w14:textId="77777777" w:rsidR="004F5836" w:rsidRDefault="004F5836" w:rsidP="00732CCD">
      <w:r>
        <w:t xml:space="preserve">where </w:t>
      </w:r>
      <w:r w:rsidRPr="004F5836">
        <w:rPr>
          <w:position w:val="-12"/>
        </w:rPr>
        <w:object w:dxaOrig="2520" w:dyaOrig="380" w14:anchorId="31F7D42A">
          <v:shape id="_x0000_i1029" type="#_x0000_t75" style="width:126.25pt;height:18.8pt" o:ole="">
            <v:imagedata r:id="rId12" o:title=""/>
          </v:shape>
          <o:OLEObject Type="Embed" ProgID="Equation.3" ShapeID="_x0000_i1029" DrawAspect="Content" ObjectID="_1814180604" r:id="rId13"/>
        </w:object>
      </w:r>
      <w:r>
        <w:t>, Y is a geometric constant (</w:t>
      </w:r>
      <w:r w:rsidRPr="004F5836">
        <w:rPr>
          <w:position w:val="-8"/>
        </w:rPr>
        <w:object w:dxaOrig="420" w:dyaOrig="360" w14:anchorId="0B932D85">
          <v:shape id="_x0000_i1030" type="#_x0000_t75" style="width:21.5pt;height:18.25pt" o:ole="">
            <v:imagedata r:id="rId14" o:title=""/>
          </v:shape>
          <o:OLEObject Type="Embed" ProgID="Equation.3" ShapeID="_x0000_i1030" DrawAspect="Content" ObjectID="_1814180605" r:id="rId15"/>
        </w:object>
      </w:r>
      <w:r>
        <w:t>for surface flaws), K</w:t>
      </w:r>
      <w:r w:rsidRPr="005A4F73">
        <w:rPr>
          <w:vertAlign w:val="subscript"/>
        </w:rPr>
        <w:t>I</w:t>
      </w:r>
      <w:r>
        <w:rPr>
          <w:vertAlign w:val="subscript"/>
        </w:rPr>
        <w:t>C</w:t>
      </w:r>
      <w:r>
        <w:t xml:space="preserve"> is the critical stress intensity factor and S</w:t>
      </w:r>
      <w:r w:rsidRPr="004F5836">
        <w:rPr>
          <w:vertAlign w:val="subscript"/>
        </w:rPr>
        <w:t>i</w:t>
      </w:r>
      <w:r>
        <w:t xml:space="preserve"> is the fracture strength in an inert environment.</w:t>
      </w:r>
    </w:p>
    <w:p w14:paraId="35E2A6C7" w14:textId="77777777" w:rsidR="00FF1F40" w:rsidRDefault="00FF1F40" w:rsidP="00FF1F40">
      <w:r>
        <w:t>The probability distribution function for the inherent fracture strength is often well modeled by a Weibull function:</w:t>
      </w:r>
    </w:p>
    <w:p w14:paraId="5324E90C" w14:textId="77777777" w:rsidR="00FF1F40" w:rsidRDefault="00FF1F40" w:rsidP="00FF1F40">
      <w:pPr>
        <w:ind w:left="720"/>
      </w:pPr>
      <w:r w:rsidRPr="007F6BC2">
        <w:rPr>
          <w:position w:val="-32"/>
        </w:rPr>
        <w:object w:dxaOrig="2500" w:dyaOrig="760" w14:anchorId="28460E20">
          <v:shape id="_x0000_i1031" type="#_x0000_t75" style="width:125.2pt;height:37.6pt" o:ole="">
            <v:imagedata r:id="rId16" o:title=""/>
          </v:shape>
          <o:OLEObject Type="Embed" ProgID="Equation.3" ShapeID="_x0000_i1031" DrawAspect="Content" ObjectID="_1814180606" r:id="rId17"/>
        </w:object>
      </w:r>
    </w:p>
    <w:p w14:paraId="4A0D5982" w14:textId="77777777" w:rsidR="00FF1F40" w:rsidRDefault="00FF1F40" w:rsidP="00732CCD">
      <w:r>
        <w:t>where F is the cumulative failure probability and m, S</w:t>
      </w:r>
      <w:r w:rsidRPr="002F4DE9">
        <w:rPr>
          <w:vertAlign w:val="subscript"/>
        </w:rPr>
        <w:t>0</w:t>
      </w:r>
      <w:r>
        <w:t xml:space="preserve"> are </w:t>
      </w:r>
      <w:proofErr w:type="gramStart"/>
      <w:r>
        <w:t>constants</w:t>
      </w:r>
      <w:proofErr w:type="gramEnd"/>
      <w:r>
        <w:t>.</w:t>
      </w:r>
    </w:p>
    <w:p w14:paraId="7D2FBC7F" w14:textId="77777777" w:rsidR="004E7460" w:rsidRDefault="004E7460" w:rsidP="004E7460">
      <w:pPr>
        <w:pStyle w:val="Heading2"/>
      </w:pPr>
      <w:bookmarkStart w:id="4" w:name="_Toc203567549"/>
      <w:r>
        <w:t>Material Properties</w:t>
      </w:r>
      <w:bookmarkEnd w:id="4"/>
    </w:p>
    <w:p w14:paraId="2B5F4009" w14:textId="77777777" w:rsidR="004E7460" w:rsidRDefault="004E7460" w:rsidP="004E7460">
      <w:pPr>
        <w:pStyle w:val="Heading3"/>
      </w:pPr>
      <w:bookmarkStart w:id="5" w:name="_Toc203567550"/>
      <w:r>
        <w:t>Fused Silica (SiO</w:t>
      </w:r>
      <w:r w:rsidRPr="004E7460">
        <w:rPr>
          <w:vertAlign w:val="subscript"/>
        </w:rPr>
        <w:t>2</w:t>
      </w:r>
      <w:r>
        <w:t>)</w:t>
      </w:r>
      <w:bookmarkEnd w:id="5"/>
    </w:p>
    <w:p w14:paraId="00286254" w14:textId="77777777" w:rsidR="004E7460" w:rsidRDefault="004E7460" w:rsidP="004E7460">
      <w:r>
        <w:t xml:space="preserve">The strength and delayed failure properties of fused silica are discussed in the </w:t>
      </w:r>
      <w:r w:rsidR="00A323BC">
        <w:t>report</w:t>
      </w:r>
      <w:r w:rsidR="00E07028">
        <w:rPr>
          <w:rStyle w:val="FootnoteReference"/>
        </w:rPr>
        <w:footnoteReference w:id="5"/>
      </w:r>
      <w:r w:rsidR="00A323BC">
        <w:t xml:space="preserve"> on the design, and stress analysis, of the elastomer sealed viewports for </w:t>
      </w:r>
      <w:proofErr w:type="spellStart"/>
      <w:r w:rsidR="00A323BC">
        <w:t>aLIGO</w:t>
      </w:r>
      <w:proofErr w:type="spellEnd"/>
      <w:r w:rsidR="00A323BC">
        <w:t>. Here only a summary of the relevant parameters are restated for convenience.</w:t>
      </w:r>
    </w:p>
    <w:p w14:paraId="2850E7D1" w14:textId="77777777" w:rsidR="00156957" w:rsidRDefault="00FF1F40" w:rsidP="00A323BC">
      <w:pPr>
        <w:ind w:left="720"/>
      </w:pPr>
      <w:r>
        <w:t>E = 10.7 10</w:t>
      </w:r>
      <w:r w:rsidRPr="00C31A63">
        <w:rPr>
          <w:vertAlign w:val="superscript"/>
        </w:rPr>
        <w:t>6</w:t>
      </w:r>
      <w:r w:rsidR="00156957">
        <w:t xml:space="preserve"> psi (73.6 </w:t>
      </w:r>
      <w:proofErr w:type="spellStart"/>
      <w:r w:rsidR="00156957">
        <w:t>GPa</w:t>
      </w:r>
      <w:proofErr w:type="spellEnd"/>
      <w:r w:rsidR="00156957">
        <w:t>)</w:t>
      </w:r>
    </w:p>
    <w:p w14:paraId="42D9F25A" w14:textId="77777777" w:rsidR="00FF1F40" w:rsidRDefault="00FF1F40" w:rsidP="00A323BC">
      <w:pPr>
        <w:ind w:left="720"/>
      </w:pPr>
      <w:r>
        <w:rPr>
          <w:rFonts w:ascii="Calibri" w:hAnsi="Calibri" w:cs="Calibri"/>
        </w:rPr>
        <w:t>ν</w:t>
      </w:r>
      <w:r>
        <w:t xml:space="preserve"> = 0.17</w:t>
      </w:r>
    </w:p>
    <w:p w14:paraId="3E333C1D" w14:textId="77777777" w:rsidR="000F759E" w:rsidRDefault="000F759E" w:rsidP="000F759E">
      <w:pPr>
        <w:ind w:left="720"/>
      </w:pPr>
      <w:r>
        <w:t>m = 4.4</w:t>
      </w:r>
    </w:p>
    <w:p w14:paraId="4E960112" w14:textId="77777777" w:rsidR="000F759E" w:rsidRPr="004E7460" w:rsidRDefault="000F759E" w:rsidP="000F759E">
      <w:pPr>
        <w:ind w:left="720"/>
      </w:pPr>
      <w:r>
        <w:t>S</w:t>
      </w:r>
      <w:r w:rsidRPr="00A323BC">
        <w:rPr>
          <w:vertAlign w:val="subscript"/>
        </w:rPr>
        <w:t>0</w:t>
      </w:r>
      <w:r>
        <w:t xml:space="preserve"> = 156.5 MPa</w:t>
      </w:r>
    </w:p>
    <w:p w14:paraId="6BB3F5E4" w14:textId="77777777" w:rsidR="00A323BC" w:rsidRDefault="00A323BC" w:rsidP="00A323BC">
      <w:pPr>
        <w:ind w:left="720"/>
      </w:pPr>
      <w:r>
        <w:t>N = 40.5</w:t>
      </w:r>
    </w:p>
    <w:p w14:paraId="71ED0A4F" w14:textId="77777777" w:rsidR="00A323BC" w:rsidRDefault="00A323BC" w:rsidP="00A323BC">
      <w:pPr>
        <w:ind w:left="720"/>
      </w:pPr>
      <w:r>
        <w:t>B = 5.1 x 10</w:t>
      </w:r>
      <w:r w:rsidRPr="00690674">
        <w:rPr>
          <w:vertAlign w:val="superscript"/>
        </w:rPr>
        <w:t>-4</w:t>
      </w:r>
      <w:r>
        <w:t xml:space="preserve"> MPa</w:t>
      </w:r>
      <w:r w:rsidRPr="00A323BC">
        <w:rPr>
          <w:vertAlign w:val="superscript"/>
        </w:rPr>
        <w:t>2</w:t>
      </w:r>
      <w:r>
        <w:t xml:space="preserve"> s</w:t>
      </w:r>
    </w:p>
    <w:p w14:paraId="2DB17ADA" w14:textId="77777777" w:rsidR="00965AD7" w:rsidRPr="0021105E" w:rsidRDefault="0021105E" w:rsidP="00965AD7">
      <w:pPr>
        <w:ind w:left="720"/>
      </w:pPr>
      <w:bookmarkStart w:id="6" w:name="_Ref296962086"/>
      <w:r>
        <w:t>A = 7.49 x 10</w:t>
      </w:r>
      <w:r w:rsidRPr="0021105E">
        <w:rPr>
          <w:vertAlign w:val="superscript"/>
        </w:rPr>
        <w:t>6</w:t>
      </w:r>
      <w:r w:rsidR="00965AD7" w:rsidRPr="0021105E">
        <w:t xml:space="preserve"> m/s (MPa </w:t>
      </w:r>
      <m:oMath>
        <m:rad>
          <m:radPr>
            <m:degHide m:val="1"/>
            <m:ctrlPr>
              <w:rPr>
                <w:rFonts w:ascii="Cambria Math" w:hAnsi="Cambria Math"/>
                <w:i/>
              </w:rPr>
            </m:ctrlPr>
          </m:radPr>
          <m:deg/>
          <m:e>
            <m:r>
              <w:rPr>
                <w:rFonts w:ascii="Cambria Math" w:hAnsi="Cambria Math"/>
              </w:rPr>
              <m:t>m</m:t>
            </m:r>
          </m:e>
        </m:rad>
      </m:oMath>
      <w:r w:rsidR="00965AD7" w:rsidRPr="0021105E">
        <w:t>)</w:t>
      </w:r>
      <w:r w:rsidR="00965AD7" w:rsidRPr="0021105E">
        <w:rPr>
          <w:vertAlign w:val="superscript"/>
        </w:rPr>
        <w:t>-N</w:t>
      </w:r>
    </w:p>
    <w:p w14:paraId="0CC2C44E" w14:textId="77777777" w:rsidR="00965AD7" w:rsidRPr="0021105E" w:rsidRDefault="00965AD7" w:rsidP="00965AD7">
      <w:pPr>
        <w:ind w:left="720"/>
      </w:pPr>
      <w:proofErr w:type="spellStart"/>
      <w:r w:rsidRPr="0021105E">
        <w:t>K</w:t>
      </w:r>
      <w:r w:rsidRPr="0021105E">
        <w:rPr>
          <w:vertAlign w:val="subscript"/>
        </w:rPr>
        <w:t>Ic</w:t>
      </w:r>
      <w:proofErr w:type="spellEnd"/>
      <w:r w:rsidR="0021105E">
        <w:t xml:space="preserve"> = 0.722</w:t>
      </w:r>
      <w:r w:rsidRPr="0021105E">
        <w:t xml:space="preserve"> MPa </w:t>
      </w:r>
      <m:oMath>
        <m:rad>
          <m:radPr>
            <m:degHide m:val="1"/>
            <m:ctrlPr>
              <w:rPr>
                <w:rFonts w:ascii="Cambria Math" w:hAnsi="Cambria Math"/>
                <w:i/>
              </w:rPr>
            </m:ctrlPr>
          </m:radPr>
          <m:deg/>
          <m:e>
            <m:r>
              <w:rPr>
                <w:rFonts w:ascii="Cambria Math" w:hAnsi="Cambria Math"/>
              </w:rPr>
              <m:t>m</m:t>
            </m:r>
          </m:e>
        </m:rad>
      </m:oMath>
    </w:p>
    <w:p w14:paraId="26F1A646" w14:textId="77777777" w:rsidR="00246BA9" w:rsidRDefault="00490B53" w:rsidP="00991856">
      <w:pPr>
        <w:pStyle w:val="Heading3"/>
      </w:pPr>
      <w:bookmarkStart w:id="7" w:name="_Toc203567551"/>
      <w:r>
        <w:t xml:space="preserve">Corning 7056 </w:t>
      </w:r>
      <w:r w:rsidR="00991856" w:rsidRPr="00991856">
        <w:t>Alkali Borosilicate</w:t>
      </w:r>
      <w:r w:rsidR="00991856">
        <w:t xml:space="preserve"> </w:t>
      </w:r>
      <w:r>
        <w:t>Glass</w:t>
      </w:r>
      <w:bookmarkEnd w:id="7"/>
    </w:p>
    <w:p w14:paraId="1F849F47" w14:textId="77777777" w:rsidR="000725CC" w:rsidRDefault="000725CC" w:rsidP="00490B53">
      <w:r>
        <w:t>The elastic properties of Corning 7056</w:t>
      </w:r>
      <w:r w:rsidR="004365F8">
        <w:rPr>
          <w:rStyle w:val="FootnoteReference"/>
        </w:rPr>
        <w:footnoteReference w:id="6"/>
      </w:r>
      <w:r>
        <w:t xml:space="preserve"> </w:t>
      </w:r>
      <w:r w:rsidR="004365F8">
        <w:t xml:space="preserve">(a glass designed to have a coefficient of expansion matched to Kovar for sealing to glass) </w:t>
      </w:r>
      <w:r>
        <w:t>are:</w:t>
      </w:r>
    </w:p>
    <w:p w14:paraId="3DDF2416" w14:textId="77777777" w:rsidR="000725CC" w:rsidRDefault="000725CC" w:rsidP="000725CC">
      <w:pPr>
        <w:ind w:left="720"/>
      </w:pPr>
      <w:r>
        <w:t xml:space="preserve">E = 62.8 </w:t>
      </w:r>
      <w:proofErr w:type="spellStart"/>
      <w:r>
        <w:t>GPa</w:t>
      </w:r>
      <w:proofErr w:type="spellEnd"/>
    </w:p>
    <w:p w14:paraId="347829CC" w14:textId="77777777" w:rsidR="000725CC" w:rsidRDefault="000725CC" w:rsidP="000725CC">
      <w:pPr>
        <w:ind w:left="720"/>
      </w:pPr>
      <w:r>
        <w:rPr>
          <w:rFonts w:ascii="Symbol" w:hAnsi="Symbol" w:cs="Calibri"/>
        </w:rPr>
        <w:t></w:t>
      </w:r>
      <w:r>
        <w:t xml:space="preserve"> = 0.21</w:t>
      </w:r>
    </w:p>
    <w:p w14:paraId="00E84DBB" w14:textId="77777777" w:rsidR="00490B53" w:rsidRPr="00490B53" w:rsidRDefault="00490B53" w:rsidP="00490B53">
      <w:r>
        <w:lastRenderedPageBreak/>
        <w:t>I have been unable to find any delayed failure (static fatigue) data in the literature</w:t>
      </w:r>
      <w:r w:rsidR="00991856">
        <w:rPr>
          <w:rStyle w:val="FootnoteReference"/>
        </w:rPr>
        <w:footnoteReference w:id="7"/>
      </w:r>
      <w:r>
        <w:t xml:space="preserve"> for </w:t>
      </w:r>
      <w:r w:rsidR="00991856">
        <w:t xml:space="preserve">Corning </w:t>
      </w:r>
      <w:r>
        <w:t>7056 glass, or more generally for borosilicate glass</w:t>
      </w:r>
      <w:r w:rsidR="00991856">
        <w:t>. As a consequence, the proof test factor for this glass will default to 2.0.</w:t>
      </w:r>
    </w:p>
    <w:p w14:paraId="6AFAB182" w14:textId="77777777" w:rsidR="00246BA9" w:rsidRDefault="00246BA9" w:rsidP="00246BA9">
      <w:pPr>
        <w:pStyle w:val="Heading3"/>
      </w:pPr>
      <w:bookmarkStart w:id="8" w:name="_Toc203567552"/>
      <w:r>
        <w:t>Zinc Selenide (</w:t>
      </w:r>
      <w:proofErr w:type="spellStart"/>
      <w:r>
        <w:t>ZnSe</w:t>
      </w:r>
      <w:proofErr w:type="spellEnd"/>
      <w:r>
        <w:t>)</w:t>
      </w:r>
      <w:bookmarkEnd w:id="8"/>
    </w:p>
    <w:p w14:paraId="2E78B95F" w14:textId="77777777" w:rsidR="00490B53" w:rsidRDefault="00512326" w:rsidP="00490B53">
      <w:r>
        <w:t xml:space="preserve">The elastic properties of </w:t>
      </w:r>
      <w:r w:rsidR="00723E44">
        <w:t xml:space="preserve">chemical-vapor-deposited (CVD) </w:t>
      </w:r>
      <w:proofErr w:type="spellStart"/>
      <w:r>
        <w:t>ZnSe</w:t>
      </w:r>
      <w:proofErr w:type="spellEnd"/>
      <w:r>
        <w:t xml:space="preserve"> windows </w:t>
      </w:r>
      <w:r w:rsidR="00FF56E1">
        <w:t>are</w:t>
      </w:r>
      <w:r>
        <w:rPr>
          <w:rStyle w:val="FootnoteReference"/>
        </w:rPr>
        <w:footnoteReference w:id="8"/>
      </w:r>
      <w:r>
        <w:t>:</w:t>
      </w:r>
    </w:p>
    <w:p w14:paraId="686C3B2A" w14:textId="77777777" w:rsidR="00512326" w:rsidRDefault="00512326" w:rsidP="00512326">
      <w:pPr>
        <w:ind w:left="720"/>
      </w:pPr>
      <w:r>
        <w:t xml:space="preserve">E = 74.3 </w:t>
      </w:r>
      <w:proofErr w:type="spellStart"/>
      <w:r>
        <w:t>GPa</w:t>
      </w:r>
      <w:proofErr w:type="spellEnd"/>
    </w:p>
    <w:p w14:paraId="1B26A94E" w14:textId="77777777" w:rsidR="00512326" w:rsidRDefault="00A855E2" w:rsidP="00512326">
      <w:pPr>
        <w:ind w:left="720"/>
      </w:pPr>
      <w:r>
        <w:rPr>
          <w:rFonts w:ascii="Symbol" w:hAnsi="Symbol" w:cs="Calibri"/>
        </w:rPr>
        <w:t></w:t>
      </w:r>
      <w:r w:rsidR="00512326">
        <w:t xml:space="preserve"> = 0.31</w:t>
      </w:r>
    </w:p>
    <w:p w14:paraId="3539D028" w14:textId="77777777" w:rsidR="00723E44" w:rsidRDefault="00280A44" w:rsidP="00490B53">
      <w:r>
        <w:t>and t</w:t>
      </w:r>
      <w:r w:rsidR="00723E44">
        <w:t xml:space="preserve">he Weibull distribution parameters for the </w:t>
      </w:r>
      <w:proofErr w:type="spellStart"/>
      <w:r w:rsidR="00723E44">
        <w:t>equibiaxial</w:t>
      </w:r>
      <w:proofErr w:type="spellEnd"/>
      <w:r w:rsidR="00723E44">
        <w:t xml:space="preserve"> fracture strength</w:t>
      </w:r>
      <w:r>
        <w:t xml:space="preserve"> (determined by the maximum likelihood estimator)</w:t>
      </w:r>
      <w:r w:rsidR="00723E44">
        <w:t xml:space="preserve"> are:</w:t>
      </w:r>
    </w:p>
    <w:p w14:paraId="05F35890" w14:textId="77777777" w:rsidR="00723E44" w:rsidRDefault="00723E44" w:rsidP="00723E44">
      <w:pPr>
        <w:ind w:left="720"/>
      </w:pPr>
      <w:r>
        <w:t>m = 9.6</w:t>
      </w:r>
    </w:p>
    <w:p w14:paraId="63995178" w14:textId="77777777" w:rsidR="00723E44" w:rsidRDefault="006023C7" w:rsidP="00723E44">
      <w:pPr>
        <w:ind w:left="720"/>
      </w:pPr>
      <w:r>
        <w:t>S</w:t>
      </w:r>
      <w:r w:rsidR="00723E44" w:rsidRPr="00723E44">
        <w:rPr>
          <w:vertAlign w:val="subscript"/>
        </w:rPr>
        <w:t>0</w:t>
      </w:r>
      <w:r w:rsidR="00723E44">
        <w:t xml:space="preserve"> = 60.6 MPa</w:t>
      </w:r>
    </w:p>
    <w:p w14:paraId="0BD75B8A" w14:textId="77777777" w:rsidR="006023C7" w:rsidRDefault="00A944F7" w:rsidP="00490B53">
      <w:r>
        <w:t>With a failure probability of F = 10</w:t>
      </w:r>
      <w:r w:rsidRPr="00A944F7">
        <w:rPr>
          <w:vertAlign w:val="superscript"/>
        </w:rPr>
        <w:t>-5</w:t>
      </w:r>
      <w:r w:rsidR="006023C7">
        <w:t xml:space="preserve"> and a lifetime, </w:t>
      </w:r>
      <w:proofErr w:type="spellStart"/>
      <w:r w:rsidR="006023C7">
        <w:t>t</w:t>
      </w:r>
      <w:r w:rsidR="006023C7" w:rsidRPr="006023C7">
        <w:rPr>
          <w:vertAlign w:val="subscript"/>
        </w:rPr>
        <w:t>f</w:t>
      </w:r>
      <w:proofErr w:type="spellEnd"/>
      <w:r w:rsidR="006023C7">
        <w:t xml:space="preserve"> = 20 years:</w:t>
      </w:r>
    </w:p>
    <w:p w14:paraId="5FDF62AC" w14:textId="77777777" w:rsidR="00A944F7" w:rsidRDefault="00A944F7" w:rsidP="006023C7">
      <w:pPr>
        <w:ind w:left="720"/>
      </w:pPr>
      <w:r>
        <w:t>S</w:t>
      </w:r>
      <w:r w:rsidRPr="00A944F7">
        <w:rPr>
          <w:vertAlign w:val="subscript"/>
        </w:rPr>
        <w:t>i</w:t>
      </w:r>
      <w:r w:rsidR="006023C7">
        <w:t xml:space="preserve"> = 18.3 MPa</w:t>
      </w:r>
    </w:p>
    <w:p w14:paraId="17D93A67" w14:textId="77777777" w:rsidR="006023C7" w:rsidRDefault="006023C7" w:rsidP="006023C7">
      <w:pPr>
        <w:ind w:left="720"/>
      </w:pPr>
      <w:r>
        <w:rPr>
          <w:rFonts w:ascii="Symbol" w:hAnsi="Symbol"/>
        </w:rPr>
        <w:t></w:t>
      </w:r>
      <w:r w:rsidR="007945F8">
        <w:rPr>
          <w:vertAlign w:val="subscript"/>
        </w:rPr>
        <w:t>f</w:t>
      </w:r>
      <w:r>
        <w:t xml:space="preserve"> = 7.86 MPa</w:t>
      </w:r>
    </w:p>
    <w:p w14:paraId="03A233B3" w14:textId="77777777" w:rsidR="00FF56E1" w:rsidRDefault="00FF56E1" w:rsidP="00490B53">
      <w:r>
        <w:t>A NASA report</w:t>
      </w:r>
      <w:bookmarkStart w:id="9" w:name="_Ref312654944"/>
      <w:r w:rsidR="00991D23">
        <w:rPr>
          <w:rStyle w:val="FootnoteReference"/>
        </w:rPr>
        <w:footnoteReference w:id="9"/>
      </w:r>
      <w:bookmarkEnd w:id="9"/>
      <w:r>
        <w:t xml:space="preserve"> on slow crack growth properties of </w:t>
      </w:r>
      <w:r w:rsidR="00723E44">
        <w:t xml:space="preserve">CVD </w:t>
      </w:r>
      <w:proofErr w:type="spellStart"/>
      <w:r>
        <w:t>ZnSe</w:t>
      </w:r>
      <w:proofErr w:type="spellEnd"/>
      <w:r>
        <w:t xml:space="preserve"> window</w:t>
      </w:r>
      <w:r w:rsidR="00991D23">
        <w:t>s showed a remarkably large variation in slow crack growth properties from</w:t>
      </w:r>
      <w:r w:rsidR="00280A44">
        <w:t xml:space="preserve"> (or derived from)</w:t>
      </w:r>
      <w:r w:rsidR="00991D23">
        <w:t xml:space="preserve"> data in the literature. </w:t>
      </w:r>
      <w:r w:rsidR="00473D0A">
        <w:t>In my opinion</w:t>
      </w:r>
      <w:r w:rsidR="00E35D45">
        <w:rPr>
          <w:rStyle w:val="FootnoteReference"/>
        </w:rPr>
        <w:footnoteReference w:id="10"/>
      </w:r>
      <w:r w:rsidR="00473D0A">
        <w:t xml:space="preserve"> the most appropriate slow crack growth parameters are:</w:t>
      </w:r>
    </w:p>
    <w:p w14:paraId="00A608F0" w14:textId="77777777" w:rsidR="00473D0A" w:rsidRDefault="00473D0A" w:rsidP="00473D0A">
      <w:pPr>
        <w:ind w:left="720"/>
      </w:pPr>
      <w:r>
        <w:t>N = 39.6</w:t>
      </w:r>
    </w:p>
    <w:p w14:paraId="7CB1876C" w14:textId="77777777" w:rsidR="000F759E" w:rsidRDefault="000F759E" w:rsidP="000F759E">
      <w:pPr>
        <w:ind w:left="720"/>
      </w:pPr>
      <w:r>
        <w:t>B = 6.74 x 10</w:t>
      </w:r>
      <w:r w:rsidRPr="00473D0A">
        <w:rPr>
          <w:vertAlign w:val="superscript"/>
        </w:rPr>
        <w:t>-4</w:t>
      </w:r>
      <w:r>
        <w:t xml:space="preserve"> MPa</w:t>
      </w:r>
      <w:r w:rsidRPr="00473D0A">
        <w:rPr>
          <w:vertAlign w:val="superscript"/>
        </w:rPr>
        <w:t>2</w:t>
      </w:r>
      <w:r>
        <w:t>-s</w:t>
      </w:r>
    </w:p>
    <w:p w14:paraId="41A528D4" w14:textId="77777777" w:rsidR="00473D0A" w:rsidRDefault="00473D0A" w:rsidP="00473D0A">
      <w:pPr>
        <w:ind w:left="720"/>
      </w:pPr>
      <w:r>
        <w:t>A = 1.09 x 10</w:t>
      </w:r>
      <w:r w:rsidRPr="00473D0A">
        <w:rPr>
          <w:vertAlign w:val="superscript"/>
        </w:rPr>
        <w:t>3</w:t>
      </w:r>
      <w:r>
        <w:t xml:space="preserve"> m/s (MPa </w:t>
      </w:r>
      <m:oMath>
        <m:rad>
          <m:radPr>
            <m:degHide m:val="1"/>
            <m:ctrlPr>
              <w:rPr>
                <w:rFonts w:ascii="Cambria Math" w:hAnsi="Cambria Math"/>
                <w:i/>
              </w:rPr>
            </m:ctrlPr>
          </m:radPr>
          <m:deg/>
          <m:e>
            <m:r>
              <w:rPr>
                <w:rFonts w:ascii="Cambria Math" w:hAnsi="Cambria Math"/>
              </w:rPr>
              <m:t>m</m:t>
            </m:r>
          </m:e>
        </m:rad>
      </m:oMath>
      <w:r>
        <w:t>)</w:t>
      </w:r>
      <w:r w:rsidRPr="00473D0A">
        <w:rPr>
          <w:vertAlign w:val="superscript"/>
        </w:rPr>
        <w:t>-N</w:t>
      </w:r>
    </w:p>
    <w:p w14:paraId="781C3649" w14:textId="77777777" w:rsidR="00473D0A" w:rsidRDefault="00473D0A" w:rsidP="00473D0A">
      <w:pPr>
        <w:ind w:left="720"/>
      </w:pPr>
      <w:proofErr w:type="spellStart"/>
      <w:r>
        <w:t>K</w:t>
      </w:r>
      <w:r w:rsidRPr="00473D0A">
        <w:rPr>
          <w:vertAlign w:val="subscript"/>
        </w:rPr>
        <w:t>Ic</w:t>
      </w:r>
      <w:proofErr w:type="spellEnd"/>
      <w:r>
        <w:t xml:space="preserve"> = 0.9 MPa </w:t>
      </w:r>
      <m:oMath>
        <m:rad>
          <m:radPr>
            <m:degHide m:val="1"/>
            <m:ctrlPr>
              <w:rPr>
                <w:rFonts w:ascii="Cambria Math" w:hAnsi="Cambria Math"/>
                <w:i/>
              </w:rPr>
            </m:ctrlPr>
          </m:radPr>
          <m:deg/>
          <m:e>
            <m:r>
              <w:rPr>
                <w:rFonts w:ascii="Cambria Math" w:hAnsi="Cambria Math"/>
              </w:rPr>
              <m:t>m</m:t>
            </m:r>
          </m:e>
        </m:rad>
      </m:oMath>
    </w:p>
    <w:p w14:paraId="6D5B9696" w14:textId="77777777" w:rsidR="00512326" w:rsidRPr="00490B53" w:rsidRDefault="00944B4F" w:rsidP="00490B53">
      <w:r>
        <w:t>However it should be noted that there is a great deal of uncertainty in these values (despite reporting 3 significant digits). The interested reader should consult the source references.</w:t>
      </w:r>
    </w:p>
    <w:p w14:paraId="1EEEFCF6" w14:textId="39AD4DB9" w:rsidR="009113C8" w:rsidRDefault="009113C8" w:rsidP="009113C8">
      <w:pPr>
        <w:pStyle w:val="Heading3"/>
      </w:pPr>
      <w:bookmarkStart w:id="10" w:name="_Toc203567553"/>
      <w:r>
        <w:lastRenderedPageBreak/>
        <w:t xml:space="preserve">Calcium </w:t>
      </w:r>
      <w:proofErr w:type="spellStart"/>
      <w:r>
        <w:t>Flouride</w:t>
      </w:r>
      <w:proofErr w:type="spellEnd"/>
      <w:r>
        <w:t xml:space="preserve"> (</w:t>
      </w:r>
      <w:r>
        <w:t>CaF2</w:t>
      </w:r>
      <w:r>
        <w:t>)</w:t>
      </w:r>
      <w:bookmarkEnd w:id="10"/>
    </w:p>
    <w:p w14:paraId="196EF367" w14:textId="3AFBB86B" w:rsidR="009113C8" w:rsidRDefault="009113C8" w:rsidP="009113C8">
      <w:r>
        <w:t xml:space="preserve">CaF2 is being considered for use </w:t>
      </w:r>
      <w:r w:rsidR="007879EB">
        <w:t>with a laser</w:t>
      </w:r>
      <w:r w:rsidRPr="009113C8">
        <w:t xml:space="preserve"> heater </w:t>
      </w:r>
      <w:r w:rsidR="007879EB">
        <w:t xml:space="preserve">system </w:t>
      </w:r>
      <w:r w:rsidRPr="009113C8">
        <w:t>for transient attenuation on the Input Test Mass (ITM) front surface to be installed as part of the O5 upgrades.</w:t>
      </w:r>
      <w:r>
        <w:t xml:space="preserve"> </w:t>
      </w:r>
      <w:r w:rsidRPr="009113C8">
        <w:t xml:space="preserve"> This system will utilize quantum cascade lasers </w:t>
      </w:r>
      <w:r w:rsidR="00BE68B9">
        <w:t xml:space="preserve">(QCLs) </w:t>
      </w:r>
      <w:r w:rsidRPr="009113C8">
        <w:t>operating at 4.65 µm</w:t>
      </w:r>
      <w:r>
        <w:t>.</w:t>
      </w:r>
      <w:r w:rsidRPr="009113C8">
        <w:t xml:space="preserve"> The system will be known as Central Heater for Transient Attenuation (CHETA).</w:t>
      </w:r>
      <w:r>
        <w:t xml:space="preserve"> </w:t>
      </w:r>
      <w:r w:rsidRPr="009113C8">
        <w:t xml:space="preserve">CHETA requires 60 mm clear view, double-glass, In-sealed, AR coated (1064nm, 4650 nm), viewports. </w:t>
      </w:r>
      <w:r>
        <w:t>CaF2 has</w:t>
      </w:r>
      <w:r w:rsidRPr="009113C8">
        <w:t xml:space="preserve"> high transmission from the UV to the Mid-Wave Infrared (MWIR)</w:t>
      </w:r>
      <w:r>
        <w:t xml:space="preserve"> with</w:t>
      </w:r>
      <w:r w:rsidRPr="009113C8">
        <w:t xml:space="preserve"> low absorption</w:t>
      </w:r>
      <w:r>
        <w:t xml:space="preserve"> and</w:t>
      </w:r>
      <w:r w:rsidRPr="009113C8">
        <w:t xml:space="preserve"> high </w:t>
      </w:r>
      <w:r>
        <w:t xml:space="preserve">laser </w:t>
      </w:r>
      <w:r w:rsidRPr="009113C8">
        <w:t>damage threshold.</w:t>
      </w:r>
      <w:r>
        <w:t xml:space="preserve"> </w:t>
      </w:r>
      <w:r w:rsidR="00BE68B9">
        <w:t>However,</w:t>
      </w:r>
      <w:r>
        <w:t xml:space="preserve"> CaF2 is brittle and subject to slow crack growth. </w:t>
      </w:r>
    </w:p>
    <w:p w14:paraId="7E2FC5DE" w14:textId="4F642D5A" w:rsidR="009113C8" w:rsidRPr="009113C8" w:rsidRDefault="007879EB" w:rsidP="009113C8">
      <w:r>
        <w:t>Material and f</w:t>
      </w:r>
      <w:r w:rsidR="009113C8" w:rsidRPr="009113C8">
        <w:t>racture mechanics property data</w:t>
      </w:r>
      <w:r>
        <w:rPr>
          <w:rStyle w:val="FootnoteReference"/>
        </w:rPr>
        <w:footnoteReference w:id="11"/>
      </w:r>
      <w:r>
        <w:t>,</w:t>
      </w:r>
      <w:r>
        <w:rPr>
          <w:rStyle w:val="FootnoteReference"/>
        </w:rPr>
        <w:footnoteReference w:id="12"/>
      </w:r>
      <w:r w:rsidR="009113C8">
        <w:t xml:space="preserve"> for CaF2 is as follows:</w:t>
      </w:r>
    </w:p>
    <w:p w14:paraId="7AB2318E" w14:textId="527AE574" w:rsidR="007879EB" w:rsidRDefault="007879EB" w:rsidP="007879EB">
      <w:pPr>
        <w:ind w:left="720"/>
      </w:pPr>
      <w:r>
        <w:t>E = 10</w:t>
      </w:r>
      <w:r>
        <w:t>8</w:t>
      </w:r>
      <w:r>
        <w:t xml:space="preserve"> </w:t>
      </w:r>
      <w:proofErr w:type="spellStart"/>
      <w:r>
        <w:t>GPa</w:t>
      </w:r>
      <w:proofErr w:type="spellEnd"/>
    </w:p>
    <w:p w14:paraId="2123FE9D" w14:textId="241AEA32" w:rsidR="007879EB" w:rsidRDefault="007879EB" w:rsidP="007879EB">
      <w:pPr>
        <w:ind w:left="720"/>
      </w:pPr>
      <w:r>
        <w:rPr>
          <w:rFonts w:ascii="Calibri" w:hAnsi="Calibri" w:cs="Calibri"/>
        </w:rPr>
        <w:t>ν</w:t>
      </w:r>
      <w:r>
        <w:t xml:space="preserve"> = 0.</w:t>
      </w:r>
      <w:r>
        <w:t>30</w:t>
      </w:r>
    </w:p>
    <w:p w14:paraId="7CEB8168" w14:textId="013F2863" w:rsidR="007879EB" w:rsidRDefault="007879EB" w:rsidP="007879EB">
      <w:pPr>
        <w:ind w:left="720"/>
      </w:pPr>
      <w:r>
        <w:t xml:space="preserve">m = </w:t>
      </w:r>
      <w:r>
        <w:t>6</w:t>
      </w:r>
    </w:p>
    <w:p w14:paraId="71D071B5" w14:textId="2B7F7150" w:rsidR="007879EB" w:rsidRPr="004E7460" w:rsidRDefault="007879EB" w:rsidP="007879EB">
      <w:pPr>
        <w:ind w:left="720"/>
      </w:pPr>
      <w:r>
        <w:t>S</w:t>
      </w:r>
      <w:r w:rsidRPr="00A323BC">
        <w:rPr>
          <w:vertAlign w:val="subscript"/>
        </w:rPr>
        <w:t>0</w:t>
      </w:r>
      <w:r>
        <w:t xml:space="preserve"> = </w:t>
      </w:r>
      <w:r>
        <w:t>70</w:t>
      </w:r>
      <w:r>
        <w:t xml:space="preserve"> MPa</w:t>
      </w:r>
    </w:p>
    <w:p w14:paraId="64A72191" w14:textId="412B9968" w:rsidR="007879EB" w:rsidRDefault="007879EB" w:rsidP="007879EB">
      <w:pPr>
        <w:ind w:left="720"/>
      </w:pPr>
      <w:r>
        <w:t xml:space="preserve">N = </w:t>
      </w:r>
      <w:r>
        <w:t>33</w:t>
      </w:r>
    </w:p>
    <w:p w14:paraId="7ABF9868" w14:textId="1E05758A" w:rsidR="007879EB" w:rsidRDefault="007879EB" w:rsidP="007879EB">
      <w:pPr>
        <w:ind w:left="720"/>
      </w:pPr>
      <w:r>
        <w:t xml:space="preserve">B = </w:t>
      </w:r>
      <w:r>
        <w:t>1.22</w:t>
      </w:r>
      <w:r>
        <w:t xml:space="preserve"> MPa</w:t>
      </w:r>
      <w:r w:rsidRPr="00A323BC">
        <w:rPr>
          <w:vertAlign w:val="superscript"/>
        </w:rPr>
        <w:t>2</w:t>
      </w:r>
      <w:r>
        <w:t xml:space="preserve"> s</w:t>
      </w:r>
    </w:p>
    <w:p w14:paraId="2346BABB" w14:textId="0AC58013" w:rsidR="007879EB" w:rsidRPr="0021105E" w:rsidRDefault="007879EB" w:rsidP="007879EB">
      <w:pPr>
        <w:ind w:left="720"/>
      </w:pPr>
      <w:r>
        <w:t xml:space="preserve">A = </w:t>
      </w:r>
      <w:r>
        <w:t>1.89</w:t>
      </w:r>
      <w:r>
        <w:t xml:space="preserve"> x 10</w:t>
      </w:r>
      <w:r>
        <w:rPr>
          <w:vertAlign w:val="superscript"/>
        </w:rPr>
        <w:t>12</w:t>
      </w:r>
      <w:r w:rsidRPr="0021105E">
        <w:t xml:space="preserve"> m/s (MPa </w:t>
      </w:r>
      <m:oMath>
        <m:rad>
          <m:radPr>
            <m:degHide m:val="1"/>
            <m:ctrlPr>
              <w:rPr>
                <w:rFonts w:ascii="Cambria Math" w:hAnsi="Cambria Math"/>
                <w:i/>
              </w:rPr>
            </m:ctrlPr>
          </m:radPr>
          <m:deg/>
          <m:e>
            <m:r>
              <w:rPr>
                <w:rFonts w:ascii="Cambria Math" w:hAnsi="Cambria Math"/>
              </w:rPr>
              <m:t>m</m:t>
            </m:r>
          </m:e>
        </m:rad>
      </m:oMath>
      <w:r w:rsidRPr="0021105E">
        <w:t>)</w:t>
      </w:r>
      <w:r w:rsidRPr="0021105E">
        <w:rPr>
          <w:vertAlign w:val="superscript"/>
        </w:rPr>
        <w:t>-N</w:t>
      </w:r>
    </w:p>
    <w:p w14:paraId="6B764F9A" w14:textId="14E02A2C" w:rsidR="007879EB" w:rsidRPr="0021105E" w:rsidRDefault="007879EB" w:rsidP="007879EB">
      <w:pPr>
        <w:ind w:left="720"/>
      </w:pPr>
      <w:proofErr w:type="spellStart"/>
      <w:r w:rsidRPr="0021105E">
        <w:t>K</w:t>
      </w:r>
      <w:r w:rsidRPr="0021105E">
        <w:rPr>
          <w:vertAlign w:val="subscript"/>
        </w:rPr>
        <w:t>Ic</w:t>
      </w:r>
      <w:proofErr w:type="spellEnd"/>
      <w:r>
        <w:t xml:space="preserve"> = 0.</w:t>
      </w:r>
      <w:r>
        <w:t>35</w:t>
      </w:r>
      <w:r w:rsidRPr="0021105E">
        <w:t xml:space="preserve"> MPa </w:t>
      </w:r>
      <m:oMath>
        <m:rad>
          <m:radPr>
            <m:degHide m:val="1"/>
            <m:ctrlPr>
              <w:rPr>
                <w:rFonts w:ascii="Cambria Math" w:hAnsi="Cambria Math"/>
                <w:i/>
              </w:rPr>
            </m:ctrlPr>
          </m:radPr>
          <m:deg/>
          <m:e>
            <m:r>
              <w:rPr>
                <w:rFonts w:ascii="Cambria Math" w:hAnsi="Cambria Math"/>
              </w:rPr>
              <m:t>m</m:t>
            </m:r>
          </m:e>
        </m:rad>
      </m:oMath>
    </w:p>
    <w:p w14:paraId="6DACF34C" w14:textId="1D3AEED4" w:rsidR="0031401F" w:rsidRDefault="0031401F" w:rsidP="004E7460">
      <w:pPr>
        <w:pStyle w:val="Heading1"/>
      </w:pPr>
      <w:bookmarkStart w:id="11" w:name="_Toc203567554"/>
      <w:r>
        <w:t>Stress</w:t>
      </w:r>
      <w:bookmarkEnd w:id="11"/>
    </w:p>
    <w:p w14:paraId="1EFE9FBA" w14:textId="77777777" w:rsidR="005F48B2" w:rsidRDefault="00846488" w:rsidP="0031401F">
      <w:pPr>
        <w:pStyle w:val="Heading2"/>
      </w:pPr>
      <w:bookmarkStart w:id="12" w:name="_Toc203567555"/>
      <w:r>
        <w:t xml:space="preserve">Stress due to the </w:t>
      </w:r>
      <w:r w:rsidR="00B011C8">
        <w:t>Pressure Load</w:t>
      </w:r>
      <w:bookmarkEnd w:id="6"/>
      <w:bookmarkEnd w:id="12"/>
    </w:p>
    <w:p w14:paraId="29425274" w14:textId="77777777" w:rsidR="005F48B2" w:rsidRDefault="00B011C8">
      <w:r>
        <w:t xml:space="preserve">The response (deflection and stress) of the window/optic due to one atmosphere of load can be </w:t>
      </w:r>
      <w:r w:rsidR="00B716C5">
        <w:t>estimated by the response of a circular flat plate of constant thickness loaded with a uniform pressure on one side</w:t>
      </w:r>
      <w:r w:rsidR="00E11147">
        <w:t xml:space="preserve"> and simply supported at its perimeter</w:t>
      </w:r>
      <w:r w:rsidR="00B716C5">
        <w:rPr>
          <w:rStyle w:val="FootnoteReference"/>
        </w:rPr>
        <w:footnoteReference w:id="13"/>
      </w:r>
      <w:r w:rsidR="00B716C5">
        <w:t>:</w:t>
      </w:r>
    </w:p>
    <w:p w14:paraId="7061E23C" w14:textId="77777777" w:rsidR="00B716C5" w:rsidRDefault="00250A5D" w:rsidP="003A2B00">
      <w:pPr>
        <w:ind w:left="720"/>
      </w:pPr>
      <w:r w:rsidRPr="00250A5D">
        <w:rPr>
          <w:position w:val="-28"/>
        </w:rPr>
        <w:object w:dxaOrig="1740" w:dyaOrig="700" w14:anchorId="2298AE0E">
          <v:shape id="_x0000_i1032" type="#_x0000_t75" style="width:87.6pt;height:35.45pt" o:ole="">
            <v:imagedata r:id="rId18" o:title=""/>
          </v:shape>
          <o:OLEObject Type="Embed" ProgID="Equation.3" ShapeID="_x0000_i1032" DrawAspect="Content" ObjectID="_1814180607" r:id="rId19"/>
        </w:object>
      </w:r>
      <w:r w:rsidR="003A2B00">
        <w:t>, the deflection of the plate (window) at the center</w:t>
      </w:r>
    </w:p>
    <w:p w14:paraId="76311D8A" w14:textId="77777777" w:rsidR="00250A5D" w:rsidRDefault="003A2B00" w:rsidP="003A2B00">
      <w:pPr>
        <w:ind w:left="720"/>
      </w:pPr>
      <w:r w:rsidRPr="00250A5D">
        <w:rPr>
          <w:position w:val="-24"/>
        </w:rPr>
        <w:object w:dxaOrig="1680" w:dyaOrig="660" w14:anchorId="565A0D0D">
          <v:shape id="_x0000_i1033" type="#_x0000_t75" style="width:83.8pt;height:33.85pt" o:ole="">
            <v:imagedata r:id="rId20" o:title=""/>
          </v:shape>
          <o:OLEObject Type="Embed" ProgID="Equation.3" ShapeID="_x0000_i1033" DrawAspect="Content" ObjectID="_1814180608" r:id="rId21"/>
        </w:object>
      </w:r>
      <w:r>
        <w:t>, the stress at the face of the plate (window) at the center</w:t>
      </w:r>
    </w:p>
    <w:p w14:paraId="5547402D" w14:textId="77777777" w:rsidR="003A2B00" w:rsidRDefault="003A2B00">
      <w:r>
        <w:t xml:space="preserve">where </w:t>
      </w:r>
    </w:p>
    <w:p w14:paraId="2975E0BB" w14:textId="77777777" w:rsidR="003A2B00" w:rsidRDefault="003A2B00" w:rsidP="003A2B00">
      <w:pPr>
        <w:spacing w:before="0"/>
        <w:ind w:left="720"/>
      </w:pPr>
      <w:r>
        <w:t>a = radius</w:t>
      </w:r>
      <w:r w:rsidR="00D678F1">
        <w:t xml:space="preserve"> to the simple support (taken as the compressed o-ring I.D.)</w:t>
      </w:r>
    </w:p>
    <w:p w14:paraId="2A3B2C5E" w14:textId="77777777" w:rsidR="003A2B00" w:rsidRDefault="003A2B00" w:rsidP="003A2B00">
      <w:pPr>
        <w:spacing w:before="0"/>
        <w:ind w:left="720"/>
      </w:pPr>
      <w:r>
        <w:lastRenderedPageBreak/>
        <w:t>q = applied pressure load</w:t>
      </w:r>
    </w:p>
    <w:p w14:paraId="3B21E219" w14:textId="77777777" w:rsidR="003A2B00" w:rsidRDefault="003A2B00" w:rsidP="003A2B00">
      <w:pPr>
        <w:spacing w:before="0"/>
        <w:ind w:left="720"/>
      </w:pPr>
      <w:r>
        <w:t>t = window thickness</w:t>
      </w:r>
    </w:p>
    <w:p w14:paraId="1DEBABA8" w14:textId="77777777" w:rsidR="003A2B00" w:rsidRDefault="003A2B00" w:rsidP="003A2B00">
      <w:pPr>
        <w:spacing w:before="0"/>
        <w:ind w:left="720"/>
      </w:pPr>
      <w:r w:rsidRPr="003A2B00">
        <w:rPr>
          <w:position w:val="-28"/>
        </w:rPr>
        <w:object w:dxaOrig="1460" w:dyaOrig="700" w14:anchorId="57B38DE1">
          <v:shape id="_x0000_i1034" type="#_x0000_t75" style="width:72.55pt;height:35.45pt" o:ole="">
            <v:imagedata r:id="rId22" o:title=""/>
          </v:shape>
          <o:OLEObject Type="Embed" ProgID="Equation.3" ShapeID="_x0000_i1034" DrawAspect="Content" ObjectID="_1814180609" r:id="rId23"/>
        </w:object>
      </w:r>
      <w:r>
        <w:t xml:space="preserve"> is the “plate constant”, or stiffness</w:t>
      </w:r>
    </w:p>
    <w:p w14:paraId="752505F3" w14:textId="77777777" w:rsidR="003A2B00" w:rsidRDefault="003A2B00" w:rsidP="003A2B00">
      <w:pPr>
        <w:spacing w:before="0"/>
        <w:ind w:left="720"/>
      </w:pPr>
      <w:r>
        <w:t>E = modulus of elasticity</w:t>
      </w:r>
    </w:p>
    <w:p w14:paraId="286224C7" w14:textId="77777777" w:rsidR="003A2B00" w:rsidRDefault="003A2B00" w:rsidP="003A2B00">
      <w:pPr>
        <w:spacing w:before="0"/>
        <w:ind w:left="720"/>
      </w:pPr>
      <w:r>
        <w:rPr>
          <w:rFonts w:ascii="Calibri" w:hAnsi="Calibri" w:cs="Calibri"/>
        </w:rPr>
        <w:t>ν</w:t>
      </w:r>
      <w:r>
        <w:t xml:space="preserve"> = Poisson’s ratio</w:t>
      </w:r>
    </w:p>
    <w:p w14:paraId="5829B68A" w14:textId="3EFF2482" w:rsidR="00C31A63" w:rsidRDefault="008C40F4" w:rsidP="00547914">
      <w:r>
        <w:t>This</w:t>
      </w:r>
      <w:r w:rsidR="001E04F3">
        <w:t xml:space="preserve"> approximate calculation is reasonably close to finite element result</w:t>
      </w:r>
      <w:r>
        <w:t>s</w:t>
      </w:r>
      <w:r w:rsidR="001E04F3">
        <w:t>, indicating that the response is primarily plate-like bending</w:t>
      </w:r>
      <w:r w:rsidR="001E04F3">
        <w:rPr>
          <w:rStyle w:val="FootnoteReference"/>
        </w:rPr>
        <w:footnoteReference w:id="14"/>
      </w:r>
      <w:r w:rsidR="001E04F3">
        <w:t>.</w:t>
      </w:r>
      <w:r w:rsidR="00AC5CE9">
        <w:t xml:space="preserve"> The finite element analysis for the non-wedged, 6 inch, high quality viewport windows</w:t>
      </w:r>
      <w:r w:rsidR="00AC5CE9">
        <w:rPr>
          <w:rStyle w:val="FootnoteReference"/>
        </w:rPr>
        <w:footnoteReference w:id="15"/>
      </w:r>
      <w:r w:rsidR="00AC5CE9">
        <w:t xml:space="preserve"> is documented in </w:t>
      </w:r>
      <w:hyperlink r:id="rId24" w:history="1">
        <w:r w:rsidR="00AC5CE9" w:rsidRPr="00AC5CE9">
          <w:rPr>
            <w:rStyle w:val="Hyperlink"/>
          </w:rPr>
          <w:t>T1100346</w:t>
        </w:r>
      </w:hyperlink>
      <w:r w:rsidR="00AC5CE9">
        <w:t xml:space="preserve">. The finite element analysis for the TCS viewport </w:t>
      </w:r>
      <w:proofErr w:type="spellStart"/>
      <w:r w:rsidR="00AC5CE9">
        <w:t>ZnSe</w:t>
      </w:r>
      <w:proofErr w:type="spellEnd"/>
      <w:r w:rsidR="00AC5CE9">
        <w:t xml:space="preserve"> window</w:t>
      </w:r>
      <w:r w:rsidR="00AC5CE9">
        <w:rPr>
          <w:rStyle w:val="FootnoteReference"/>
        </w:rPr>
        <w:footnoteReference w:id="16"/>
      </w:r>
      <w:r w:rsidR="00AC5CE9">
        <w:t xml:space="preserve"> is documented in </w:t>
      </w:r>
      <w:hyperlink r:id="rId25" w:history="1">
        <w:r w:rsidR="00AC5CE9" w:rsidRPr="001478B9">
          <w:rPr>
            <w:rStyle w:val="Hyperlink"/>
          </w:rPr>
          <w:t>E1100379</w:t>
        </w:r>
      </w:hyperlink>
      <w:r w:rsidR="00AC5CE9">
        <w:t>.</w:t>
      </w:r>
      <w:r w:rsidR="001478B9">
        <w:t xml:space="preserve"> In both of these cases the approximate plate bending formulation given above yields a higher (conservative) stress. The approximate plate bending formulae is used for all other viewport designs in section </w:t>
      </w:r>
      <w:r w:rsidR="005D3650">
        <w:fldChar w:fldCharType="begin"/>
      </w:r>
      <w:r w:rsidR="005D3650">
        <w:instrText xml:space="preserve"> REF _Ref313445096 \r \h </w:instrText>
      </w:r>
      <w:r w:rsidR="005D3650">
        <w:fldChar w:fldCharType="separate"/>
      </w:r>
      <w:r w:rsidR="00BE68B9">
        <w:t>4</w:t>
      </w:r>
      <w:r w:rsidR="005D3650">
        <w:fldChar w:fldCharType="end"/>
      </w:r>
      <w:r w:rsidR="005D3650">
        <w:t>.</w:t>
      </w:r>
    </w:p>
    <w:p w14:paraId="534CBA94" w14:textId="77777777" w:rsidR="00B011C8" w:rsidRDefault="0031401F" w:rsidP="0031401F">
      <w:pPr>
        <w:pStyle w:val="Heading2"/>
      </w:pPr>
      <w:bookmarkStart w:id="13" w:name="_Toc203567556"/>
      <w:r>
        <w:t>Thermal Stress</w:t>
      </w:r>
      <w:bookmarkEnd w:id="13"/>
    </w:p>
    <w:p w14:paraId="419E8F91" w14:textId="77777777" w:rsidR="0031401F" w:rsidRDefault="0031401F" w:rsidP="0031401F">
      <w:r>
        <w:t>The only viewports which have some thermal loading are the following:</w:t>
      </w:r>
    </w:p>
    <w:p w14:paraId="7AF6724F" w14:textId="77777777" w:rsidR="0031401F" w:rsidRDefault="0031401F" w:rsidP="0031401F">
      <w:pPr>
        <w:pStyle w:val="ListParagraph"/>
        <w:numPr>
          <w:ilvl w:val="0"/>
          <w:numId w:val="32"/>
        </w:numPr>
      </w:pPr>
      <w:r>
        <w:t>PSL injection viewports</w:t>
      </w:r>
    </w:p>
    <w:p w14:paraId="5B8C2939" w14:textId="77777777" w:rsidR="0031401F" w:rsidRDefault="0031401F" w:rsidP="0031401F">
      <w:pPr>
        <w:pStyle w:val="ListParagraph"/>
        <w:numPr>
          <w:ilvl w:val="0"/>
          <w:numId w:val="32"/>
        </w:numPr>
      </w:pPr>
      <w:r>
        <w:t>TCS injection viewports</w:t>
      </w:r>
    </w:p>
    <w:p w14:paraId="2B165889" w14:textId="74532BD3" w:rsidR="001478B9" w:rsidRPr="0031401F" w:rsidRDefault="001478B9" w:rsidP="0031401F">
      <w:r>
        <w:t xml:space="preserve">As shown in </w:t>
      </w:r>
      <w:hyperlink r:id="rId26" w:history="1">
        <w:r w:rsidRPr="001478B9">
          <w:rPr>
            <w:rStyle w:val="Hyperlink"/>
          </w:rPr>
          <w:t>E1100379</w:t>
        </w:r>
      </w:hyperlink>
      <w:r w:rsidR="0070362E">
        <w:t>, with nominal (low) surface and bulk absorption,</w:t>
      </w:r>
      <w:r>
        <w:t xml:space="preserve"> the small amount of absorption in the </w:t>
      </w:r>
      <w:r w:rsidR="0070362E">
        <w:t xml:space="preserve">TCS </w:t>
      </w:r>
      <w:r>
        <w:t xml:space="preserve">viewport window causes very little temperature increase and insignificant stress. Both of these high power injection viewports (PSL and TCS) have an outer, secondary, window which does not have a differential pressure across it. This window prevents </w:t>
      </w:r>
      <w:r w:rsidR="0070362E">
        <w:t xml:space="preserve">significant surface </w:t>
      </w:r>
      <w:r>
        <w:t>contaminants (e.g. bugs) from causing increased absorption on the pressurized window.</w:t>
      </w:r>
      <w:r w:rsidR="0070362E">
        <w:t xml:space="preserve"> </w:t>
      </w:r>
    </w:p>
    <w:p w14:paraId="134F37AB" w14:textId="77777777" w:rsidR="004A2F17" w:rsidRDefault="007C7C42" w:rsidP="007C7C42">
      <w:pPr>
        <w:pStyle w:val="Heading1"/>
      </w:pPr>
      <w:bookmarkStart w:id="14" w:name="_Ref313445096"/>
      <w:bookmarkStart w:id="15" w:name="_Toc203567557"/>
      <w:r>
        <w:t>Proof Test</w:t>
      </w:r>
      <w:bookmarkEnd w:id="14"/>
      <w:bookmarkEnd w:id="15"/>
    </w:p>
    <w:p w14:paraId="611761ED" w14:textId="77777777" w:rsidR="0031401F" w:rsidRDefault="0070362E" w:rsidP="007C7C42">
      <w:r>
        <w:t>The p</w:t>
      </w:r>
      <w:r w:rsidR="0031401F">
        <w:t>roof test should have the same stress field as the service stress</w:t>
      </w:r>
      <w:r>
        <w:t>, except amplified. Since the in-service stress is principally due to differential pressure, the proof stress can be accomplished by simply applying a higher differential pressure.</w:t>
      </w:r>
    </w:p>
    <w:p w14:paraId="5914B3E3" w14:textId="77777777" w:rsidR="007C7C42" w:rsidRDefault="00CE1A94" w:rsidP="007C7C42">
      <w:r>
        <w:t>The minimum lifetime after proof testing is given by:</w:t>
      </w:r>
    </w:p>
    <w:p w14:paraId="0A45EFCC" w14:textId="77777777" w:rsidR="00CE1A94" w:rsidRPr="00CE1A94" w:rsidRDefault="00000000" w:rsidP="007C7C42">
      <m:oMathPara>
        <m:oMath>
          <m:sSub>
            <m:sSubPr>
              <m:ctrlPr>
                <w:rPr>
                  <w:rFonts w:ascii="Cambria Math" w:hAnsi="Cambria Math"/>
                  <w:i/>
                </w:rPr>
              </m:ctrlPr>
            </m:sSubPr>
            <m:e>
              <m:r>
                <w:rPr>
                  <w:rFonts w:ascii="Cambria Math" w:hAnsi="Cambria Math"/>
                </w:rPr>
                <m:t>t</m:t>
              </m:r>
            </m:e>
            <m:sub>
              <m:r>
                <w:rPr>
                  <w:rFonts w:ascii="Cambria Math" w:hAnsi="Cambria Math"/>
                </w:rPr>
                <m:t>min</m:t>
              </m:r>
            </m:sub>
          </m:sSub>
          <m:r>
            <w:rPr>
              <w:rFonts w:ascii="Cambria Math" w:hAnsi="Cambria Math"/>
            </w:rPr>
            <m:t>=B</m:t>
          </m:r>
          <m:sSubSup>
            <m:sSubSupPr>
              <m:ctrlPr>
                <w:rPr>
                  <w:rFonts w:ascii="Cambria Math" w:hAnsi="Cambria Math"/>
                  <w:i/>
                </w:rPr>
              </m:ctrlPr>
            </m:sSubSupPr>
            <m:e>
              <m:r>
                <w:rPr>
                  <w:rFonts w:ascii="Cambria Math" w:hAnsi="Cambria Math"/>
                </w:rPr>
                <m:t>σ</m:t>
              </m:r>
            </m:e>
            <m:sub>
              <m:r>
                <w:rPr>
                  <w:rFonts w:ascii="Cambria Math" w:hAnsi="Cambria Math"/>
                </w:rPr>
                <m:t>p</m:t>
              </m:r>
            </m:sub>
            <m:sup>
              <m:r>
                <w:rPr>
                  <w:rFonts w:ascii="Cambria Math" w:hAnsi="Cambria Math"/>
                </w:rPr>
                <m:t>N-2</m:t>
              </m:r>
            </m:sup>
          </m:sSubSup>
          <m:sSubSup>
            <m:sSubSupPr>
              <m:ctrlPr>
                <w:rPr>
                  <w:rFonts w:ascii="Cambria Math" w:hAnsi="Cambria Math"/>
                  <w:i/>
                </w:rPr>
              </m:ctrlPr>
            </m:sSubSupPr>
            <m:e>
              <m:r>
                <w:rPr>
                  <w:rFonts w:ascii="Cambria Math" w:hAnsi="Cambria Math"/>
                </w:rPr>
                <m:t>σ</m:t>
              </m:r>
            </m:e>
            <m:sub>
              <m:r>
                <w:rPr>
                  <w:rFonts w:ascii="Cambria Math" w:hAnsi="Cambria Math"/>
                </w:rPr>
                <m:t>a</m:t>
              </m:r>
            </m:sub>
            <m:sup>
              <m:r>
                <w:rPr>
                  <w:rFonts w:ascii="Cambria Math" w:hAnsi="Cambria Math"/>
                </w:rPr>
                <m:t>-N</m:t>
              </m:r>
            </m:sup>
          </m:sSubSup>
        </m:oMath>
      </m:oMathPara>
    </w:p>
    <w:p w14:paraId="380D20E7" w14:textId="77777777" w:rsidR="00CE1A94" w:rsidRDefault="00CE1A94" w:rsidP="007C7C42">
      <w:r>
        <w:t xml:space="preserve">where </w:t>
      </w:r>
      <w:r w:rsidRPr="00CE1A94">
        <w:rPr>
          <w:rFonts w:ascii="Symbol" w:hAnsi="Symbol"/>
        </w:rPr>
        <w:t></w:t>
      </w:r>
      <w:r w:rsidRPr="00CE1A94">
        <w:rPr>
          <w:vertAlign w:val="subscript"/>
        </w:rPr>
        <w:t>p</w:t>
      </w:r>
      <w:r>
        <w:t xml:space="preserve"> is the proof stress, </w:t>
      </w:r>
      <w:r w:rsidRPr="00CE1A94">
        <w:rPr>
          <w:rFonts w:ascii="Symbol" w:hAnsi="Symbol"/>
        </w:rPr>
        <w:t></w:t>
      </w:r>
      <w:r>
        <w:rPr>
          <w:vertAlign w:val="subscript"/>
        </w:rPr>
        <w:t>a</w:t>
      </w:r>
      <w:r>
        <w:t xml:space="preserve"> is the applied, or service, stress and N and B are fracture mechanics material parameters defined </w:t>
      </w:r>
      <w:r w:rsidR="00A1374F">
        <w:t>above</w:t>
      </w:r>
      <w:r>
        <w:t>.</w:t>
      </w:r>
      <w:r w:rsidR="0048044C">
        <w:t xml:space="preserve"> The applied/service stress is the result of 1 atmosphere of differential pressure load. A proof test would impose a higher differential pressure in order to get the same stress field response except at </w:t>
      </w:r>
      <w:r w:rsidR="00A42DAC">
        <w:t>higher</w:t>
      </w:r>
      <w:r w:rsidR="0048044C">
        <w:t xml:space="preserve"> amplitude. Due to the linear elastic response of the window, the proof stress can be expressed as a multiple of the applied/service stress:</w:t>
      </w:r>
    </w:p>
    <w:p w14:paraId="6AB415CE" w14:textId="77777777" w:rsidR="0048044C" w:rsidRPr="0048044C" w:rsidRDefault="00000000" w:rsidP="007C7C42">
      <m:oMathPara>
        <m:oMath>
          <m:sSub>
            <m:sSubPr>
              <m:ctrlPr>
                <w:rPr>
                  <w:rFonts w:ascii="Cambria Math" w:hAnsi="Cambria Math"/>
                  <w:i/>
                </w:rPr>
              </m:ctrlPr>
            </m:sSubPr>
            <m:e>
              <m:r>
                <w:rPr>
                  <w:rFonts w:ascii="Cambria Math" w:hAnsi="Cambria Math"/>
                </w:rPr>
                <m:t>σ</m:t>
              </m:r>
            </m:e>
            <m:sub>
              <m:r>
                <w:rPr>
                  <w:rFonts w:ascii="Cambria Math" w:hAnsi="Cambria Math"/>
                </w:rPr>
                <m:t>p</m:t>
              </m:r>
            </m:sub>
          </m:sSub>
          <m:r>
            <w:rPr>
              <w:rFonts w:ascii="Cambria Math" w:hAnsi="Cambria Math"/>
            </w:rPr>
            <m:t>=x</m:t>
          </m:r>
          <m:sSub>
            <m:sSubPr>
              <m:ctrlPr>
                <w:rPr>
                  <w:rFonts w:ascii="Cambria Math" w:hAnsi="Cambria Math"/>
                  <w:i/>
                </w:rPr>
              </m:ctrlPr>
            </m:sSubPr>
            <m:e>
              <m:r>
                <w:rPr>
                  <w:rFonts w:ascii="Cambria Math" w:hAnsi="Cambria Math"/>
                </w:rPr>
                <m:t>σ</m:t>
              </m:r>
            </m:e>
            <m:sub>
              <m:r>
                <w:rPr>
                  <w:rFonts w:ascii="Cambria Math" w:hAnsi="Cambria Math"/>
                </w:rPr>
                <m:t>a</m:t>
              </m:r>
            </m:sub>
          </m:sSub>
        </m:oMath>
      </m:oMathPara>
    </w:p>
    <w:p w14:paraId="19B58283" w14:textId="77777777" w:rsidR="0048044C" w:rsidRDefault="0048044C" w:rsidP="007C7C42">
      <w:r>
        <w:lastRenderedPageBreak/>
        <w:t xml:space="preserve">where x is the number of atmospheres of load to be used in the proof test and </w:t>
      </w:r>
      <w:r w:rsidRPr="00CE1A94">
        <w:rPr>
          <w:rFonts w:ascii="Symbol" w:hAnsi="Symbol"/>
        </w:rPr>
        <w:t></w:t>
      </w:r>
      <w:r>
        <w:rPr>
          <w:vertAlign w:val="subscript"/>
        </w:rPr>
        <w:t>a</w:t>
      </w:r>
      <w:r>
        <w:t xml:space="preserve"> is </w:t>
      </w:r>
      <w:r w:rsidR="005D3650">
        <w:t>the applied stress in service</w:t>
      </w:r>
      <w:r>
        <w:t>.</w:t>
      </w:r>
    </w:p>
    <w:p w14:paraId="635CAD09" w14:textId="77777777" w:rsidR="00A1374F" w:rsidRDefault="00235769" w:rsidP="007C7C42">
      <w:r>
        <w:t xml:space="preserve">However the proof test load can be high enough to cause unintended damage if not careful. The viewport is either sealed with an </w:t>
      </w:r>
      <w:proofErr w:type="spellStart"/>
      <w:r>
        <w:t>o-ring</w:t>
      </w:r>
      <w:proofErr w:type="spellEnd"/>
      <w:r>
        <w:t xml:space="preserve"> or a glass-to-metal </w:t>
      </w:r>
      <w:r w:rsidR="008B13C2">
        <w:t xml:space="preserve">fused </w:t>
      </w:r>
      <w:r>
        <w:t xml:space="preserve">bellows/flexure seal. In the case of the </w:t>
      </w:r>
      <w:proofErr w:type="spellStart"/>
      <w:r>
        <w:t>o-ring</w:t>
      </w:r>
      <w:proofErr w:type="spellEnd"/>
      <w:r>
        <w:t xml:space="preserve"> seal, the</w:t>
      </w:r>
      <w:r w:rsidR="00A42DAC">
        <w:t xml:space="preserve"> proof pressure is </w:t>
      </w:r>
      <w:r w:rsidR="00A1374F">
        <w:t xml:space="preserve">generally high </w:t>
      </w:r>
      <w:r w:rsidR="00A42DAC">
        <w:t>enough that the gap between the glass and the viewport flange will close and cause contact between the glass and metal</w:t>
      </w:r>
      <w:r w:rsidR="00A1374F">
        <w:t>, which can initiate surface flaws that lead to failure, i.e. without proper precaution the proof test can lead to premature failure</w:t>
      </w:r>
      <w:r w:rsidR="00A42DAC">
        <w:t>.</w:t>
      </w:r>
      <w:r w:rsidR="00A1374F">
        <w:t xml:space="preserve"> As a consequence either (a) a protective thin shim of soft material is placed between the glass and the metal (e.g. </w:t>
      </w:r>
      <w:proofErr w:type="spellStart"/>
      <w:r w:rsidR="00A1374F">
        <w:t>kapton</w:t>
      </w:r>
      <w:proofErr w:type="spellEnd"/>
      <w:r w:rsidR="00A1374F">
        <w:t>), or (b) the window is proof tested separately from the viewport assembly and care is taken not to compromise the glass surface is subsequent handling and assembly. We have chosen the former approach.</w:t>
      </w:r>
    </w:p>
    <w:p w14:paraId="75671D1D" w14:textId="6A1F5519" w:rsidR="008B13C2" w:rsidRDefault="008B13C2" w:rsidP="007C7C42">
      <w:r>
        <w:t>In the case of a glas</w:t>
      </w:r>
      <w:r w:rsidR="00FE2740">
        <w:t>s-to-metal fused seal, the proof</w:t>
      </w:r>
      <w:r>
        <w:t xml:space="preserve"> test load is high enough to cause permanent deflection of the bellows/flexure. In this case the proof test apparatus must provide a soft landing to support the edge of the glass before the bellows/flexure exceeds the elastic limit.</w:t>
      </w:r>
      <w:r w:rsidR="00FE2740">
        <w:t xml:space="preserve"> In the </w:t>
      </w:r>
      <w:proofErr w:type="spellStart"/>
      <w:r w:rsidR="00FE2740">
        <w:t>aLIGO</w:t>
      </w:r>
      <w:proofErr w:type="spellEnd"/>
      <w:r w:rsidR="00FE2740">
        <w:t xml:space="preserve"> viewport proof tester (</w:t>
      </w:r>
      <w:hyperlink r:id="rId27" w:history="1">
        <w:r w:rsidR="00FE2740" w:rsidRPr="00BB2F79">
          <w:rPr>
            <w:rStyle w:val="Hyperlink"/>
          </w:rPr>
          <w:t>D</w:t>
        </w:r>
        <w:r w:rsidR="00BB2F79" w:rsidRPr="00BB2F79">
          <w:rPr>
            <w:rStyle w:val="Hyperlink"/>
          </w:rPr>
          <w:t>1101939</w:t>
        </w:r>
      </w:hyperlink>
      <w:r w:rsidR="00FE2740">
        <w:t>) this is accomplished with a PEEK ring which contacts the outer radius of the face of the win</w:t>
      </w:r>
      <w:r w:rsidR="00EF2270">
        <w:t>dow,</w:t>
      </w:r>
      <w:r w:rsidR="00BB2F79">
        <w:t xml:space="preserve"> just inside the </w:t>
      </w:r>
      <w:proofErr w:type="spellStart"/>
      <w:r w:rsidR="00BB2F79">
        <w:t>o-ring</w:t>
      </w:r>
      <w:proofErr w:type="spellEnd"/>
      <w:r w:rsidR="00BB2F79">
        <w:t xml:space="preserve"> gland,</w:t>
      </w:r>
      <w:r w:rsidR="00EF2270">
        <w:t xml:space="preserve"> which approximates the boundary condition afforded by the bellows/flexure reasonably well</w:t>
      </w:r>
      <w:r w:rsidR="00BB2F79">
        <w:t xml:space="preserve"> (though of course not exactly)</w:t>
      </w:r>
      <w:r w:rsidR="00EF2270">
        <w:t>.</w:t>
      </w:r>
    </w:p>
    <w:p w14:paraId="0FD4E27D" w14:textId="1A5FBD04" w:rsidR="00566BF3" w:rsidRDefault="00566BF3" w:rsidP="007C7C42">
      <w:r>
        <w:t xml:space="preserve">The proof test values, as well as other relevant parameters, for each of the </w:t>
      </w:r>
      <w:proofErr w:type="spellStart"/>
      <w:r>
        <w:t>aLIGO</w:t>
      </w:r>
      <w:proofErr w:type="spellEnd"/>
      <w:r>
        <w:t xml:space="preserve"> viewport windows is given in </w:t>
      </w:r>
      <w:r w:rsidR="00990B1D">
        <w:fldChar w:fldCharType="begin"/>
      </w:r>
      <w:r w:rsidR="00990B1D">
        <w:instrText xml:space="preserve"> REF _Ref313367113 \h </w:instrText>
      </w:r>
      <w:r w:rsidR="00990B1D">
        <w:fldChar w:fldCharType="separate"/>
      </w:r>
      <w:r w:rsidR="00BE68B9">
        <w:t xml:space="preserve">Table </w:t>
      </w:r>
      <w:r w:rsidR="00BE68B9">
        <w:rPr>
          <w:noProof/>
        </w:rPr>
        <w:t>1</w:t>
      </w:r>
      <w:r w:rsidR="00990B1D">
        <w:fldChar w:fldCharType="end"/>
      </w:r>
      <w:r w:rsidR="00990B1D">
        <w:t>.</w:t>
      </w:r>
      <w:r w:rsidR="00426919">
        <w:t xml:space="preserve"> The proof test levels are based on a 20 year lifetime.</w:t>
      </w:r>
    </w:p>
    <w:p w14:paraId="7501A01C" w14:textId="77777777" w:rsidR="00990B1D" w:rsidRDefault="00990B1D" w:rsidP="007C7C42">
      <w:r>
        <w:t>Note that the TCS viewport includes two windows, one comprised of fused silica and the other comprised of zinc selenide. Both of the windows are exposed to the same proof pressure at the same time. Consequently the larger of the two</w:t>
      </w:r>
      <w:r w:rsidR="00110558">
        <w:t xml:space="preserve"> proof pressures should be used (to ensure a 20 year </w:t>
      </w:r>
      <w:r w:rsidR="005D3650">
        <w:t xml:space="preserve">minimum </w:t>
      </w:r>
      <w:r w:rsidR="00110558">
        <w:t>lifetime). This is possible only because the proof test levels for both windows are so similar.</w:t>
      </w:r>
    </w:p>
    <w:p w14:paraId="5A68560B" w14:textId="77777777" w:rsidR="00990B1D" w:rsidRDefault="00990B1D" w:rsidP="007C7C42">
      <w:r>
        <w:t xml:space="preserve">For the commercial viewports which have a metal-to-glass, fused seal, </w:t>
      </w:r>
      <w:r w:rsidR="00A002E6">
        <w:t>t</w:t>
      </w:r>
      <w:r w:rsidRPr="00990B1D">
        <w:t>he outer radius of the glass window is assumed to be .25" larger than the clear aperture, based on measurements for one design.</w:t>
      </w:r>
    </w:p>
    <w:p w14:paraId="6FB9D835" w14:textId="77777777" w:rsidR="00A002E6" w:rsidRDefault="005D3650" w:rsidP="007C7C42">
      <w:r>
        <w:t>Note that for the large aperture (7.8” diameter) commercial viewports, the Factor of Safety (FS) is only 1.5 with a failure probability, F, of 10</w:t>
      </w:r>
      <w:r w:rsidRPr="005D3650">
        <w:rPr>
          <w:vertAlign w:val="superscript"/>
        </w:rPr>
        <w:t>-2</w:t>
      </w:r>
      <w:r>
        <w:t>, whereas for all other windows FS = 3.0 and F = 10</w:t>
      </w:r>
      <w:r w:rsidRPr="005D3650">
        <w:rPr>
          <w:vertAlign w:val="superscript"/>
        </w:rPr>
        <w:t>-</w:t>
      </w:r>
      <w:r>
        <w:rPr>
          <w:vertAlign w:val="superscript"/>
        </w:rPr>
        <w:t>5</w:t>
      </w:r>
      <w:r>
        <w:t>.</w:t>
      </w:r>
    </w:p>
    <w:p w14:paraId="47A85EE4" w14:textId="77777777" w:rsidR="007B0E1C" w:rsidRDefault="007B0E1C" w:rsidP="007B0E1C">
      <w:pPr>
        <w:pStyle w:val="Heading1"/>
      </w:pPr>
      <w:bookmarkStart w:id="16" w:name="_Toc203567558"/>
      <w:r>
        <w:t>Internal Overpressure Limit</w:t>
      </w:r>
      <w:bookmarkEnd w:id="16"/>
    </w:p>
    <w:p w14:paraId="214D3190" w14:textId="77777777" w:rsidR="007B0E1C" w:rsidRDefault="007B0E1C" w:rsidP="007B0E1C">
      <w:r>
        <w:t xml:space="preserve">If the nominal pressure differential across the viewport is reversed (i.e. the vacuum system is </w:t>
      </w:r>
      <w:proofErr w:type="spellStart"/>
      <w:r>
        <w:t>overpressured</w:t>
      </w:r>
      <w:proofErr w:type="spellEnd"/>
      <w:r>
        <w:t xml:space="preserve"> by the vent/purge-air system), then the outer surface of the window will be placed into tensile stress. The proof test defined in this document does not subject the outer surface of the window to a tensile stress. Nonetheless, we need to set a practical limit on the maximum allowed internal pressure level from the perspective of potential viewport failure. Some background information/references:</w:t>
      </w:r>
    </w:p>
    <w:p w14:paraId="297327E6" w14:textId="536B2A4F" w:rsidR="007B0E1C" w:rsidRDefault="007B0E1C" w:rsidP="007B0E1C">
      <w:pPr>
        <w:numPr>
          <w:ilvl w:val="0"/>
          <w:numId w:val="33"/>
        </w:numPr>
        <w:spacing w:before="100" w:beforeAutospacing="1" w:after="100" w:afterAutospacing="1"/>
        <w:jc w:val="left"/>
      </w:pPr>
      <w:r>
        <w:t xml:space="preserve">Document </w:t>
      </w:r>
      <w:hyperlink r:id="rId28" w:history="1">
        <w:r>
          <w:rPr>
            <w:rStyle w:val="Hyperlink"/>
          </w:rPr>
          <w:t>T080145</w:t>
        </w:r>
      </w:hyperlink>
      <w:r>
        <w:t>-v1, "Viewport Safety Protocols", states that "Volume backfill procedures and equipment should limit internal transient overpressure to 2 psi (10 kPa) [TBR] or less above ambient."</w:t>
      </w:r>
    </w:p>
    <w:p w14:paraId="41CE5A14" w14:textId="0F0F18F0" w:rsidR="007B0E1C" w:rsidRDefault="007B0E1C" w:rsidP="007B0E1C">
      <w:pPr>
        <w:numPr>
          <w:ilvl w:val="0"/>
          <w:numId w:val="33"/>
        </w:numPr>
        <w:spacing w:before="100" w:beforeAutospacing="1" w:after="100" w:afterAutospacing="1"/>
        <w:jc w:val="left"/>
      </w:pPr>
      <w:r>
        <w:t xml:space="preserve">Document </w:t>
      </w:r>
      <w:hyperlink r:id="rId29" w:history="1">
        <w:r>
          <w:rPr>
            <w:rStyle w:val="Hyperlink"/>
          </w:rPr>
          <w:t>E1200293</w:t>
        </w:r>
      </w:hyperlink>
      <w:r>
        <w:t>-v4, "Venting Isolatable Vacuum Volumes at LHO", sets a 1.5 psig limit for operation (not a design limit).</w:t>
      </w:r>
    </w:p>
    <w:p w14:paraId="24627B99" w14:textId="77777777" w:rsidR="007B0E1C" w:rsidRDefault="007B0E1C" w:rsidP="007B0E1C">
      <w:pPr>
        <w:numPr>
          <w:ilvl w:val="0"/>
          <w:numId w:val="33"/>
        </w:numPr>
        <w:spacing w:before="100" w:beforeAutospacing="1" w:after="100" w:afterAutospacing="1"/>
        <w:jc w:val="left"/>
      </w:pPr>
      <w:r>
        <w:lastRenderedPageBreak/>
        <w:t>It has been recently noted at the LHO facility that the pressure regulator on the clean air skid is rated at 1-2 psig and the pressure relief valve next to it is 1.75 psig. The pressure relief valves on the flex tubes are set to 1/3 psig.</w:t>
      </w:r>
    </w:p>
    <w:p w14:paraId="712C5740" w14:textId="77777777" w:rsidR="007B0E1C" w:rsidRDefault="007B0E1C" w:rsidP="007B0E1C">
      <w:pPr>
        <w:numPr>
          <w:ilvl w:val="0"/>
          <w:numId w:val="33"/>
        </w:numPr>
        <w:spacing w:before="100" w:beforeAutospacing="1" w:after="100" w:afterAutospacing="1"/>
        <w:jc w:val="left"/>
      </w:pPr>
      <w:r>
        <w:t>The Advanced Light Source (ALS) project vacuum policy limits overpressure for viewports to 0.5 psi based on a recommendation from Varian</w:t>
      </w:r>
      <w:r>
        <w:rPr>
          <w:rStyle w:val="FootnoteReference"/>
        </w:rPr>
        <w:footnoteReference w:id="17"/>
      </w:r>
      <w:r>
        <w:t>.</w:t>
      </w:r>
    </w:p>
    <w:p w14:paraId="4D1C14B5" w14:textId="35B2F50C" w:rsidR="007B0E1C" w:rsidRDefault="007B0E1C" w:rsidP="007B0E1C">
      <w:r>
        <w:t xml:space="preserve">Using the fracture mechanics formalism, and glass material properties, </w:t>
      </w:r>
      <w:r w:rsidR="009D67B0">
        <w:t xml:space="preserve">defined </w:t>
      </w:r>
      <w:r>
        <w:t>in this document</w:t>
      </w:r>
      <w:r w:rsidR="009D67B0">
        <w:t>, suggests that</w:t>
      </w:r>
      <w:r>
        <w:t xml:space="preserve"> a 2 psig internal overpressure (reverse pressure) would have a minimum Safety Factor of 14.7 at a cumulative</w:t>
      </w:r>
      <w:r w:rsidR="009D67B0">
        <w:t xml:space="preserve"> failure probability of .00001 </w:t>
      </w:r>
      <w:r>
        <w:t xml:space="preserve">(for all viewport types) </w:t>
      </w:r>
      <w:r>
        <w:rPr>
          <w:u w:val="single"/>
        </w:rPr>
        <w:t>based on the allowable stress for a 20 year lifetime</w:t>
      </w:r>
      <w:r>
        <w:t>, with the following assumptions and caveat</w:t>
      </w:r>
      <w:r w:rsidR="00337505">
        <w:t xml:space="preserve"> (see </w:t>
      </w:r>
      <w:r w:rsidR="00337505">
        <w:fldChar w:fldCharType="begin"/>
      </w:r>
      <w:r w:rsidR="00337505">
        <w:instrText xml:space="preserve"> REF _Ref445302048 \h </w:instrText>
      </w:r>
      <w:r w:rsidR="00337505">
        <w:fldChar w:fldCharType="separate"/>
      </w:r>
      <w:r w:rsidR="00BE68B9">
        <w:t xml:space="preserve">Table </w:t>
      </w:r>
      <w:r w:rsidR="00BE68B9">
        <w:rPr>
          <w:noProof/>
        </w:rPr>
        <w:t>2</w:t>
      </w:r>
      <w:r w:rsidR="00337505">
        <w:fldChar w:fldCharType="end"/>
      </w:r>
      <w:r w:rsidR="009D67B0">
        <w:t>)</w:t>
      </w:r>
      <w:r>
        <w:t>:</w:t>
      </w:r>
    </w:p>
    <w:p w14:paraId="4953314E" w14:textId="77777777" w:rsidR="007B0E1C" w:rsidRDefault="009D67B0" w:rsidP="007B0E1C">
      <w:pPr>
        <w:numPr>
          <w:ilvl w:val="0"/>
          <w:numId w:val="34"/>
        </w:numPr>
        <w:spacing w:before="100" w:beforeAutospacing="1" w:after="100" w:afterAutospacing="1"/>
        <w:jc w:val="left"/>
      </w:pPr>
      <w:r>
        <w:t>T</w:t>
      </w:r>
      <w:r w:rsidR="007B0E1C">
        <w:t>he vacuum-side surface is similar to the air-side surface, i.e. the surface flaw distribution on the vacuum side, which has been proof-tested in a tensile stress state, is statistically similar to the air-side surface, which has not been subjected to a tensile proof stress. This is only true if the same care and handling is applied to both sides. Given our careful inspections, care in handling and requirements to cover all viewports, I think that this is a reasonable assumption.</w:t>
      </w:r>
    </w:p>
    <w:p w14:paraId="1797571A" w14:textId="77777777" w:rsidR="007B0E1C" w:rsidRDefault="007B0E1C" w:rsidP="007B0E1C">
      <w:pPr>
        <w:numPr>
          <w:ilvl w:val="0"/>
          <w:numId w:val="34"/>
        </w:numPr>
        <w:spacing w:before="100" w:beforeAutospacing="1" w:after="100" w:afterAutospacing="1"/>
        <w:jc w:val="left"/>
      </w:pPr>
      <w:r>
        <w:t xml:space="preserve">The boundary conditions of the window are not significantly altered by the reversal of the pressure difference. This is certainly the case for the custom viewports with </w:t>
      </w:r>
      <w:proofErr w:type="spellStart"/>
      <w:r>
        <w:t>o-ring</w:t>
      </w:r>
      <w:proofErr w:type="spellEnd"/>
      <w:r>
        <w:t xml:space="preserve"> sealed windows (symmetric design). The </w:t>
      </w:r>
      <w:proofErr w:type="spellStart"/>
      <w:r>
        <w:t>covar</w:t>
      </w:r>
      <w:proofErr w:type="spellEnd"/>
      <w:r>
        <w:t xml:space="preserve"> sealed, commercial viewp</w:t>
      </w:r>
      <w:r>
        <w:rPr>
          <w:color w:val="330000"/>
        </w:rPr>
        <w:t xml:space="preserve">orts used by LIGO (MDC/Larson) have an asymmetric flexure attachment to the glass window. Under vacuum there is a small stress riser in the glass at the edge of the flexure which is </w:t>
      </w:r>
      <w:proofErr w:type="spellStart"/>
      <w:r>
        <w:rPr>
          <w:color w:val="330000"/>
        </w:rPr>
        <w:t>covar</w:t>
      </w:r>
      <w:proofErr w:type="spellEnd"/>
      <w:r>
        <w:rPr>
          <w:color w:val="330000"/>
        </w:rPr>
        <w:t xml:space="preserve"> bonded to the glass</w:t>
      </w:r>
      <w:r w:rsidR="009D67B0">
        <w:rPr>
          <w:rStyle w:val="FootnoteReference"/>
          <w:color w:val="330000"/>
        </w:rPr>
        <w:footnoteReference w:id="18"/>
      </w:r>
      <w:r>
        <w:rPr>
          <w:color w:val="330000"/>
        </w:rPr>
        <w:t>. With reversed pressure, the stress in this area is likely in compression; The stress should certainly not be at</w:t>
      </w:r>
      <w:r w:rsidR="009D67B0">
        <w:rPr>
          <w:color w:val="330000"/>
        </w:rPr>
        <w:t xml:space="preserve"> a higher tensile stress value.</w:t>
      </w:r>
    </w:p>
    <w:p w14:paraId="23F54B27" w14:textId="77777777" w:rsidR="007B0E1C" w:rsidRDefault="007B0E1C" w:rsidP="007B0E1C">
      <w:pPr>
        <w:numPr>
          <w:ilvl w:val="0"/>
          <w:numId w:val="34"/>
        </w:numPr>
        <w:spacing w:before="100" w:beforeAutospacing="1" w:after="100" w:afterAutospacing="1"/>
        <w:jc w:val="left"/>
      </w:pPr>
      <w:r>
        <w:t>For the large commercial viewports (7.8" diameter) is SF = 2.6 for F = .00001 and F = 11.4 for F = .01</w:t>
      </w:r>
      <w:r w:rsidR="009D67B0">
        <w:t xml:space="preserve"> (See section 4 for motivation on why this particular viewport is evaluated at a higher failure probability</w:t>
      </w:r>
      <w:r>
        <w:t>.</w:t>
      </w:r>
      <w:r w:rsidR="009D67B0">
        <w:t>)</w:t>
      </w:r>
    </w:p>
    <w:p w14:paraId="1450CE51" w14:textId="77777777" w:rsidR="007B0E1C" w:rsidRPr="007B0E1C" w:rsidRDefault="007B0E1C" w:rsidP="007B0E1C"/>
    <w:p w14:paraId="7B07C746" w14:textId="77777777" w:rsidR="00990B1D" w:rsidRDefault="00990B1D" w:rsidP="007C7C42"/>
    <w:p w14:paraId="7474BE10" w14:textId="77777777" w:rsidR="00566BF3" w:rsidRDefault="00566BF3" w:rsidP="007C7C42">
      <w:pPr>
        <w:sectPr w:rsidR="00566BF3">
          <w:headerReference w:type="default" r:id="rId30"/>
          <w:footerReference w:type="even" r:id="rId31"/>
          <w:footerReference w:type="default" r:id="rId32"/>
          <w:headerReference w:type="first" r:id="rId33"/>
          <w:type w:val="continuous"/>
          <w:pgSz w:w="12240" w:h="15840" w:code="1"/>
          <w:pgMar w:top="1440" w:right="1325" w:bottom="1440" w:left="1325" w:header="720" w:footer="720" w:gutter="0"/>
          <w:cols w:space="720"/>
          <w:titlePg/>
        </w:sectPr>
      </w:pPr>
    </w:p>
    <w:p w14:paraId="3DAC72E9" w14:textId="6FB41E7B" w:rsidR="00566BF3" w:rsidRDefault="00990B1D" w:rsidP="00990B1D">
      <w:pPr>
        <w:pStyle w:val="Caption"/>
      </w:pPr>
      <w:bookmarkStart w:id="17" w:name="_Ref313367113"/>
      <w:bookmarkStart w:id="18" w:name="_Toc203567559"/>
      <w:r>
        <w:lastRenderedPageBreak/>
        <w:t xml:space="preserve">Table </w:t>
      </w:r>
      <w:r w:rsidR="007B1C2B">
        <w:fldChar w:fldCharType="begin"/>
      </w:r>
      <w:r w:rsidR="007B1C2B">
        <w:instrText xml:space="preserve"> SEQ Table \* ARABIC </w:instrText>
      </w:r>
      <w:r w:rsidR="007B1C2B">
        <w:fldChar w:fldCharType="separate"/>
      </w:r>
      <w:r w:rsidR="00BE68B9">
        <w:rPr>
          <w:noProof/>
        </w:rPr>
        <w:t>1</w:t>
      </w:r>
      <w:r w:rsidR="007B1C2B">
        <w:rPr>
          <w:noProof/>
        </w:rPr>
        <w:fldChar w:fldCharType="end"/>
      </w:r>
      <w:bookmarkEnd w:id="17"/>
      <w:r>
        <w:t>: Proof Test Levels</w:t>
      </w:r>
      <w:bookmarkEnd w:id="18"/>
    </w:p>
    <w:p w14:paraId="1BC11B4E" w14:textId="670923AC" w:rsidR="00990B1D" w:rsidRDefault="00BE68B9" w:rsidP="00990B1D">
      <w:pPr>
        <w:ind w:left="-720"/>
      </w:pPr>
      <w:r w:rsidRPr="00BE68B9">
        <w:drawing>
          <wp:inline distT="0" distB="0" distL="0" distR="0" wp14:anchorId="64AA5A8B" wp14:editId="40E0D337">
            <wp:extent cx="9553433" cy="2538570"/>
            <wp:effectExtent l="0" t="0" r="0" b="0"/>
            <wp:docPr id="173789248" name="Picture 1" descr="A close-up of a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9248" name="Picture 1" descr="A close-up of a grid&#10;&#10;AI-generated content may be incorrect."/>
                    <pic:cNvPicPr/>
                  </pic:nvPicPr>
                  <pic:blipFill>
                    <a:blip r:embed="rId34"/>
                    <a:stretch>
                      <a:fillRect/>
                    </a:stretch>
                  </pic:blipFill>
                  <pic:spPr>
                    <a:xfrm>
                      <a:off x="0" y="0"/>
                      <a:ext cx="9581106" cy="2545923"/>
                    </a:xfrm>
                    <a:prstGeom prst="rect">
                      <a:avLst/>
                    </a:prstGeom>
                  </pic:spPr>
                </pic:pic>
              </a:graphicData>
            </a:graphic>
          </wp:inline>
        </w:drawing>
      </w:r>
    </w:p>
    <w:p w14:paraId="5A413DD3" w14:textId="77777777" w:rsidR="009D67B0" w:rsidRDefault="009D67B0" w:rsidP="00990B1D">
      <w:pPr>
        <w:ind w:left="-720"/>
      </w:pPr>
    </w:p>
    <w:p w14:paraId="13EDB43A" w14:textId="0F8342B6" w:rsidR="009D67B0" w:rsidRDefault="009D67B0" w:rsidP="009D67B0">
      <w:pPr>
        <w:pStyle w:val="Caption"/>
      </w:pPr>
      <w:bookmarkStart w:id="19" w:name="_Ref445302048"/>
      <w:bookmarkStart w:id="20" w:name="_Toc203567560"/>
      <w:r>
        <w:t xml:space="preserve">Table </w:t>
      </w:r>
      <w:r w:rsidR="007B1C2B">
        <w:fldChar w:fldCharType="begin"/>
      </w:r>
      <w:r w:rsidR="007B1C2B">
        <w:instrText xml:space="preserve"> SEQ Table \* ARABIC </w:instrText>
      </w:r>
      <w:r w:rsidR="007B1C2B">
        <w:fldChar w:fldCharType="separate"/>
      </w:r>
      <w:r w:rsidR="00BE68B9">
        <w:rPr>
          <w:noProof/>
        </w:rPr>
        <w:t>2</w:t>
      </w:r>
      <w:r w:rsidR="007B1C2B">
        <w:rPr>
          <w:noProof/>
        </w:rPr>
        <w:fldChar w:fldCharType="end"/>
      </w:r>
      <w:bookmarkEnd w:id="19"/>
      <w:r>
        <w:t xml:space="preserve">: Internal </w:t>
      </w:r>
      <w:r w:rsidR="00337505">
        <w:t>Overpressure Limits</w:t>
      </w:r>
      <w:bookmarkEnd w:id="20"/>
    </w:p>
    <w:p w14:paraId="2127D01E" w14:textId="17D25574" w:rsidR="00337505" w:rsidRPr="00337505" w:rsidRDefault="00BE68B9" w:rsidP="00337505">
      <w:r w:rsidRPr="00BE68B9">
        <w:drawing>
          <wp:inline distT="0" distB="0" distL="0" distR="0" wp14:anchorId="7B24EEF8" wp14:editId="6DEAE8E1">
            <wp:extent cx="4415051" cy="2618046"/>
            <wp:effectExtent l="0" t="0" r="5080" b="0"/>
            <wp:docPr id="1200485829" name="Picture 1"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485829" name="Picture 1" descr="A table with numbers and letters&#10;&#10;AI-generated content may be incorrect."/>
                    <pic:cNvPicPr/>
                  </pic:nvPicPr>
                  <pic:blipFill>
                    <a:blip r:embed="rId35"/>
                    <a:stretch>
                      <a:fillRect/>
                    </a:stretch>
                  </pic:blipFill>
                  <pic:spPr>
                    <a:xfrm>
                      <a:off x="0" y="0"/>
                      <a:ext cx="4456426" cy="2642580"/>
                    </a:xfrm>
                    <a:prstGeom prst="rect">
                      <a:avLst/>
                    </a:prstGeom>
                  </pic:spPr>
                </pic:pic>
              </a:graphicData>
            </a:graphic>
          </wp:inline>
        </w:drawing>
      </w:r>
    </w:p>
    <w:sectPr w:rsidR="00337505" w:rsidRPr="00337505" w:rsidSect="000E35FE">
      <w:pgSz w:w="15840" w:h="12240" w:orient="landscape" w:code="1"/>
      <w:pgMar w:top="1325" w:right="1440" w:bottom="132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695A" w14:textId="77777777" w:rsidR="003059E2" w:rsidRDefault="003059E2">
      <w:r>
        <w:separator/>
      </w:r>
    </w:p>
  </w:endnote>
  <w:endnote w:type="continuationSeparator" w:id="0">
    <w:p w14:paraId="126F8926" w14:textId="77777777" w:rsidR="003059E2" w:rsidRDefault="0030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A996" w14:textId="77777777" w:rsidR="007945F8" w:rsidRDefault="007945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1C2B">
      <w:rPr>
        <w:rStyle w:val="PageNumber"/>
        <w:noProof/>
      </w:rPr>
      <w:t>10</w:t>
    </w:r>
    <w:r>
      <w:rPr>
        <w:rStyle w:val="PageNumber"/>
      </w:rPr>
      <w:fldChar w:fldCharType="end"/>
    </w:r>
  </w:p>
  <w:p w14:paraId="4EFAD175" w14:textId="77777777" w:rsidR="007945F8" w:rsidRDefault="007945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0269" w14:textId="77777777" w:rsidR="007945F8" w:rsidRDefault="007945F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B1C2B">
      <w:rPr>
        <w:rStyle w:val="PageNumber"/>
        <w:noProof/>
      </w:rPr>
      <w:t>10</w:t>
    </w:r>
    <w:r>
      <w:rPr>
        <w:rStyle w:val="PageNumber"/>
      </w:rPr>
      <w:fldChar w:fldCharType="end"/>
    </w:r>
  </w:p>
  <w:p w14:paraId="24E9238E" w14:textId="77777777" w:rsidR="007945F8" w:rsidRDefault="007945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B595" w14:textId="77777777" w:rsidR="003059E2" w:rsidRDefault="003059E2">
      <w:r>
        <w:separator/>
      </w:r>
    </w:p>
  </w:footnote>
  <w:footnote w:type="continuationSeparator" w:id="0">
    <w:p w14:paraId="36041890" w14:textId="77777777" w:rsidR="003059E2" w:rsidRDefault="003059E2">
      <w:r>
        <w:continuationSeparator/>
      </w:r>
    </w:p>
  </w:footnote>
  <w:footnote w:id="1">
    <w:p w14:paraId="1A793C01" w14:textId="77777777" w:rsidR="00DC1471" w:rsidRDefault="00DC1471">
      <w:pPr>
        <w:pStyle w:val="FootnoteText"/>
      </w:pPr>
      <w:r>
        <w:rPr>
          <w:rStyle w:val="FootnoteReference"/>
        </w:rPr>
        <w:footnoteRef/>
      </w:r>
      <w:r>
        <w:t xml:space="preserve"> D. Coyne, “</w:t>
      </w:r>
      <w:r w:rsidRPr="00DC1471">
        <w:t>LIGO Generic Requirements &amp; Standards for Detector Subsystems</w:t>
      </w:r>
      <w:r>
        <w:t xml:space="preserve">”, </w:t>
      </w:r>
      <w:hyperlink r:id="rId1" w:history="1">
        <w:r w:rsidRPr="00014693">
          <w:rPr>
            <w:rStyle w:val="Hyperlink"/>
          </w:rPr>
          <w:t>E010613</w:t>
        </w:r>
      </w:hyperlink>
      <w:r w:rsidRPr="00DC1471">
        <w:t>, section 3.4.4.1.1</w:t>
      </w:r>
      <w:r>
        <w:t>. This section is based upon:</w:t>
      </w:r>
      <w:r w:rsidR="006F3C71">
        <w:t xml:space="preserve"> “Structural Design and Test Factors of Safety for Spaceflight Hardware”, </w:t>
      </w:r>
      <w:hyperlink r:id="rId2" w:history="1">
        <w:r w:rsidR="006F3C71" w:rsidRPr="00727BC7">
          <w:rPr>
            <w:rStyle w:val="Hyperlink"/>
          </w:rPr>
          <w:t>NASA-STD-5001</w:t>
        </w:r>
      </w:hyperlink>
      <w:r w:rsidR="006F3C71">
        <w:t xml:space="preserve">, 21 June 1996. </w:t>
      </w:r>
      <w:r w:rsidR="006F3C71" w:rsidRPr="006F3C71">
        <w:rPr>
          <w:i/>
        </w:rPr>
        <w:t xml:space="preserve">N.B.: </w:t>
      </w:r>
      <w:r w:rsidRPr="006F3C71">
        <w:rPr>
          <w:i/>
        </w:rPr>
        <w:t>The current version of the requirements document (</w:t>
      </w:r>
      <w:hyperlink r:id="rId3" w:history="1">
        <w:r w:rsidRPr="006F3C71">
          <w:rPr>
            <w:rStyle w:val="Hyperlink"/>
            <w:i/>
          </w:rPr>
          <w:t>E010613</w:t>
        </w:r>
      </w:hyperlink>
      <w:r w:rsidRPr="006F3C71">
        <w:rPr>
          <w:i/>
        </w:rPr>
        <w:t>-v1), requires a minimum proof test load of 1.2 times the maximum in-service load with a minimum design factor of safety of 3. However, this is really only appropriate for non-pressurized applications. The document will be revised to call for a proof test factor of 2.0 for pressurized applications, such as viewports</w:t>
      </w:r>
      <w:r w:rsidR="006F3C71">
        <w:rPr>
          <w:i/>
        </w:rPr>
        <w:t>.</w:t>
      </w:r>
    </w:p>
  </w:footnote>
  <w:footnote w:id="2">
    <w:p w14:paraId="37FFC576" w14:textId="77777777" w:rsidR="007945F8" w:rsidRDefault="007945F8" w:rsidP="00BE4E70">
      <w:pPr>
        <w:pStyle w:val="FootnoteText"/>
      </w:pPr>
      <w:r>
        <w:rPr>
          <w:rStyle w:val="FootnoteReference"/>
        </w:rPr>
        <w:footnoteRef/>
      </w:r>
      <w:r>
        <w:t xml:space="preserve"> J. Ritter, D. Coyne, K. Jakus, “Failure Probability at the Predicted Minimum Lifetime After Proof Testing”, Journal of the American Ceramic Society, Vol. 61, No.5-6, pp. 213-216</w:t>
      </w:r>
    </w:p>
  </w:footnote>
  <w:footnote w:id="3">
    <w:p w14:paraId="6A470433" w14:textId="77777777" w:rsidR="00154993" w:rsidRDefault="00154993">
      <w:pPr>
        <w:pStyle w:val="FootnoteText"/>
      </w:pPr>
      <w:r>
        <w:rPr>
          <w:rStyle w:val="FootnoteReference"/>
        </w:rPr>
        <w:footnoteRef/>
      </w:r>
      <w:r>
        <w:t xml:space="preserve"> K. Jakus, D. Coyne, J. Ritter, Analysis of fatigue data for lifetime predictions for ceramic materials, J. Materials Science, 13 (1978) 2071-2080.</w:t>
      </w:r>
    </w:p>
  </w:footnote>
  <w:footnote w:id="4">
    <w:p w14:paraId="41790B8B" w14:textId="77777777" w:rsidR="007945F8" w:rsidRDefault="007945F8">
      <w:pPr>
        <w:pStyle w:val="FootnoteText"/>
      </w:pPr>
      <w:r>
        <w:rPr>
          <w:rStyle w:val="FootnoteReference"/>
        </w:rPr>
        <w:footnoteRef/>
      </w:r>
      <w:r>
        <w:t>.</w:t>
      </w:r>
    </w:p>
  </w:footnote>
  <w:footnote w:id="5">
    <w:p w14:paraId="5BBCA65E" w14:textId="77777777" w:rsidR="00E07028" w:rsidRDefault="00E07028">
      <w:pPr>
        <w:pStyle w:val="FootnoteText"/>
      </w:pPr>
      <w:r>
        <w:rPr>
          <w:rStyle w:val="FootnoteReference"/>
        </w:rPr>
        <w:footnoteRef/>
      </w:r>
      <w:r>
        <w:t xml:space="preserve"> D. Coyne, “</w:t>
      </w:r>
      <w:r w:rsidRPr="00E07028">
        <w:t>Design of the Elastomeric Sealed, High Quality, Viewports</w:t>
      </w:r>
      <w:r>
        <w:t xml:space="preserve">”, </w:t>
      </w:r>
      <w:hyperlink r:id="rId4" w:history="1">
        <w:r w:rsidRPr="009144A3">
          <w:rPr>
            <w:rStyle w:val="Hyperlink"/>
          </w:rPr>
          <w:t>T1100346</w:t>
        </w:r>
      </w:hyperlink>
      <w:r>
        <w:t>-v2, section 4.1.</w:t>
      </w:r>
      <w:r w:rsidR="0021105E">
        <w:t xml:space="preserve"> The </w:t>
      </w:r>
      <w:proofErr w:type="spellStart"/>
      <w:r w:rsidR="0021105E">
        <w:t>KIc</w:t>
      </w:r>
      <w:proofErr w:type="spellEnd"/>
      <w:r w:rsidR="0021105E">
        <w:t xml:space="preserve"> and A values are not reported in T1100346 but available from the principal source for fused silica delayed failure parameters: L. Braun et. al., “Fracture Mechanics and Mechanical Reliability Study: Comparison of Corning Code 7980 and 7940 Fused Silica”, NIST, Nov 1998. </w:t>
      </w:r>
    </w:p>
  </w:footnote>
  <w:footnote w:id="6">
    <w:p w14:paraId="6F4739F0" w14:textId="77777777" w:rsidR="007945F8" w:rsidRDefault="007945F8" w:rsidP="004365F8">
      <w:pPr>
        <w:pStyle w:val="FootnoteText"/>
      </w:pPr>
      <w:r>
        <w:rPr>
          <w:rStyle w:val="FootnoteReference"/>
        </w:rPr>
        <w:footnoteRef/>
      </w:r>
      <w:r>
        <w:t xml:space="preserve"> </w:t>
      </w:r>
      <w:proofErr w:type="spellStart"/>
      <w:r>
        <w:t>MatWeb</w:t>
      </w:r>
      <w:proofErr w:type="spellEnd"/>
      <w:r>
        <w:t xml:space="preserve">, </w:t>
      </w:r>
      <w:hyperlink r:id="rId5" w:history="1">
        <w:r w:rsidRPr="004365F8">
          <w:rPr>
            <w:rStyle w:val="Hyperlink"/>
          </w:rPr>
          <w:t>Corning 7056 Alkali Borosilicate Crushed/Powdered Glass</w:t>
        </w:r>
      </w:hyperlink>
    </w:p>
  </w:footnote>
  <w:footnote w:id="7">
    <w:p w14:paraId="1A86AB91" w14:textId="77777777" w:rsidR="007945F8" w:rsidRDefault="007945F8">
      <w:pPr>
        <w:pStyle w:val="FootnoteText"/>
      </w:pPr>
      <w:r>
        <w:rPr>
          <w:rStyle w:val="FootnoteReference"/>
        </w:rPr>
        <w:footnoteRef/>
      </w:r>
      <w:r>
        <w:t xml:space="preserve"> albeit with a very limited search.</w:t>
      </w:r>
    </w:p>
  </w:footnote>
  <w:footnote w:id="8">
    <w:p w14:paraId="3B70AB6C" w14:textId="77777777" w:rsidR="007945F8" w:rsidRDefault="007945F8">
      <w:pPr>
        <w:pStyle w:val="FootnoteText"/>
      </w:pPr>
      <w:r>
        <w:rPr>
          <w:rStyle w:val="FootnoteReference"/>
        </w:rPr>
        <w:footnoteRef/>
      </w:r>
      <w:r>
        <w:t xml:space="preserve"> J. A. Salem, “Mechanical Characterization of </w:t>
      </w:r>
      <w:proofErr w:type="spellStart"/>
      <w:r>
        <w:t>ZnSe</w:t>
      </w:r>
      <w:proofErr w:type="spellEnd"/>
      <w:r>
        <w:t xml:space="preserve"> Windows for Use With the Flow Enclosure Accommodating Novel Investigations in Combustion of Solids (FEANICS) Module”, NASA/TM-2006-214100, Feb 2006</w:t>
      </w:r>
    </w:p>
  </w:footnote>
  <w:footnote w:id="9">
    <w:p w14:paraId="6C6D2E97" w14:textId="77777777" w:rsidR="007945F8" w:rsidRDefault="007945F8">
      <w:pPr>
        <w:pStyle w:val="FootnoteText"/>
      </w:pPr>
      <w:r>
        <w:rPr>
          <w:rStyle w:val="FootnoteReference"/>
        </w:rPr>
        <w:footnoteRef/>
      </w:r>
      <w:r>
        <w:t xml:space="preserve"> J. A. Salem, “Estimation of </w:t>
      </w:r>
      <w:proofErr w:type="spellStart"/>
      <w:r>
        <w:t>ZnSe</w:t>
      </w:r>
      <w:proofErr w:type="spellEnd"/>
      <w:r>
        <w:t xml:space="preserve"> Slow-Crack-Growth Properties for Design of the Flow Enclosure Accommodating Novel Investigations in Combustion of Solids (FEANICS) Windows”, NASA/TM-2005-213359, Apr 2005</w:t>
      </w:r>
    </w:p>
  </w:footnote>
  <w:footnote w:id="10">
    <w:p w14:paraId="33A14753" w14:textId="77777777" w:rsidR="007945F8" w:rsidRDefault="007945F8">
      <w:pPr>
        <w:pStyle w:val="FootnoteText"/>
      </w:pPr>
      <w:r>
        <w:rPr>
          <w:rStyle w:val="FootnoteReference"/>
        </w:rPr>
        <w:footnoteRef/>
      </w:r>
      <w:r>
        <w:t xml:space="preserve"> The SCG properties reported in Ref. </w:t>
      </w:r>
      <w:r>
        <w:fldChar w:fldCharType="begin"/>
      </w:r>
      <w:r>
        <w:instrText xml:space="preserve"> NOTEREF _Ref312654944 \h </w:instrText>
      </w:r>
      <w:r>
        <w:fldChar w:fldCharType="separate"/>
      </w:r>
      <w:r w:rsidR="007B1C2B">
        <w:t>9</w:t>
      </w:r>
      <w:r>
        <w:fldChar w:fldCharType="end"/>
      </w:r>
      <w:r>
        <w:t xml:space="preserve"> are derived principally from two other references, which are referred to in Ref. </w:t>
      </w:r>
      <w:r>
        <w:fldChar w:fldCharType="begin"/>
      </w:r>
      <w:r>
        <w:instrText xml:space="preserve"> NOTEREF _Ref312654944 \h </w:instrText>
      </w:r>
      <w:r>
        <w:fldChar w:fldCharType="separate"/>
      </w:r>
      <w:r w:rsidR="007B1C2B">
        <w:t>9</w:t>
      </w:r>
      <w:r>
        <w:fldChar w:fldCharType="end"/>
      </w:r>
      <w:r>
        <w:t xml:space="preserve"> as Ref. 1 and Ref. 2. The Ref. 2 data has large scatter, or was fitted after truncating some of the data for a better fit. For these reasons the Ref. 2 data is suspect in my opinion. The Ref. 1 data set which has the least scatter and has an N value which is consistent with most other data cited in Ref. </w:t>
      </w:r>
      <w:r>
        <w:fldChar w:fldCharType="begin"/>
      </w:r>
      <w:r>
        <w:instrText xml:space="preserve"> NOTEREF _Ref312654944 \h </w:instrText>
      </w:r>
      <w:r>
        <w:fldChar w:fldCharType="separate"/>
      </w:r>
      <w:r w:rsidR="007B1C2B">
        <w:t>9</w:t>
      </w:r>
      <w:r>
        <w:fldChar w:fldCharType="end"/>
      </w:r>
      <w:r>
        <w:t xml:space="preserve">, including Ref. 2, seems the best choice for N and A values. In order to derive a B value, one must use an appropriate </w:t>
      </w:r>
      <w:proofErr w:type="spellStart"/>
      <w:r>
        <w:t>K</w:t>
      </w:r>
      <w:r w:rsidRPr="002C114F">
        <w:rPr>
          <w:vertAlign w:val="subscript"/>
        </w:rPr>
        <w:t>Ic</w:t>
      </w:r>
      <w:proofErr w:type="spellEnd"/>
      <w:r>
        <w:t xml:space="preserve"> value. In Ref. </w:t>
      </w:r>
      <w:r>
        <w:fldChar w:fldCharType="begin"/>
      </w:r>
      <w:r>
        <w:instrText xml:space="preserve"> NOTEREF _Ref312654944 \h </w:instrText>
      </w:r>
      <w:r>
        <w:fldChar w:fldCharType="separate"/>
      </w:r>
      <w:r w:rsidR="007B1C2B">
        <w:t>9</w:t>
      </w:r>
      <w:r>
        <w:fldChar w:fldCharType="end"/>
      </w:r>
      <w:r>
        <w:t xml:space="preserve"> the </w:t>
      </w:r>
      <w:proofErr w:type="spellStart"/>
      <w:r>
        <w:t>K</w:t>
      </w:r>
      <w:r w:rsidRPr="002C114F">
        <w:rPr>
          <w:vertAlign w:val="subscript"/>
        </w:rPr>
        <w:t>Ic</w:t>
      </w:r>
      <w:proofErr w:type="spellEnd"/>
      <w:r>
        <w:t xml:space="preserve"> value for small cracks of intergranular or </w:t>
      </w:r>
      <w:proofErr w:type="spellStart"/>
      <w:r>
        <w:t>transgranular</w:t>
      </w:r>
      <w:proofErr w:type="spellEnd"/>
      <w:r>
        <w:t xml:space="preserve"> nature is recommended as conservative. However this value is so conservative that the </w:t>
      </w:r>
      <w:proofErr w:type="spellStart"/>
      <w:r>
        <w:t>aLIGO</w:t>
      </w:r>
      <w:proofErr w:type="spellEnd"/>
      <w:r>
        <w:t xml:space="preserve"> </w:t>
      </w:r>
      <w:proofErr w:type="spellStart"/>
      <w:r>
        <w:t>ZnSe</w:t>
      </w:r>
      <w:proofErr w:type="spellEnd"/>
      <w:r>
        <w:t xml:space="preserve"> viewport would not be predicted to sustain even 1 atm. Consequently, the less conservative, but more realistic </w:t>
      </w:r>
      <w:proofErr w:type="spellStart"/>
      <w:r>
        <w:t>K</w:t>
      </w:r>
      <w:r w:rsidRPr="002C114F">
        <w:rPr>
          <w:vertAlign w:val="subscript"/>
        </w:rPr>
        <w:t>Ic</w:t>
      </w:r>
      <w:proofErr w:type="spellEnd"/>
      <w:r>
        <w:t xml:space="preserve"> value reported for a dry nitrogen environment is used in my recommended SCG property set.</w:t>
      </w:r>
    </w:p>
  </w:footnote>
  <w:footnote w:id="11">
    <w:p w14:paraId="34CC914F" w14:textId="4D8216B0" w:rsidR="007879EB" w:rsidRDefault="007879EB" w:rsidP="007879EB">
      <w:pPr>
        <w:pStyle w:val="FootnoteText"/>
      </w:pPr>
      <w:r>
        <w:rPr>
          <w:rStyle w:val="FootnoteReference"/>
        </w:rPr>
        <w:footnoteRef/>
      </w:r>
      <w:r>
        <w:t xml:space="preserve"> </w:t>
      </w:r>
      <w:r>
        <w:t>J</w:t>
      </w:r>
      <w:r>
        <w:t>.</w:t>
      </w:r>
      <w:r>
        <w:t xml:space="preserve">A. Salem, </w:t>
      </w:r>
      <w:r>
        <w:t>“</w:t>
      </w:r>
      <w:r>
        <w:t xml:space="preserve">Crack propagation in calcium fluoride single crystals", Proceedings Volume PC13134, Optical Manufacturing and Testing, 1-Oct-2024, Optical Engineering + Applications, 2024, San Diego, </w:t>
      </w:r>
      <w:r>
        <w:t>CA</w:t>
      </w:r>
      <w:r>
        <w:t xml:space="preserve">, </w:t>
      </w:r>
      <w:r>
        <w:t>USA</w:t>
      </w:r>
      <w:r>
        <w:t xml:space="preserve"> PC1313409 (2024)</w:t>
      </w:r>
      <w:r>
        <w:t xml:space="preserve"> </w:t>
      </w:r>
      <w:hyperlink r:id="rId6" w:history="1">
        <w:r w:rsidRPr="005465E1">
          <w:rPr>
            <w:rStyle w:val="Hyperlink"/>
          </w:rPr>
          <w:t>https://www.spiedigitallibrary.org/conference-proceedings-of-spie/PC13134/PC1313409/Crack-propagation-in-calcium-fluoride-single-crystals/10.1117/12.3031867.full</w:t>
        </w:r>
      </w:hyperlink>
      <w:r>
        <w:t xml:space="preserve">  </w:t>
      </w:r>
    </w:p>
  </w:footnote>
  <w:footnote w:id="12">
    <w:p w14:paraId="04EFF1A4" w14:textId="0CA50660" w:rsidR="007879EB" w:rsidRDefault="007879EB" w:rsidP="007879EB">
      <w:pPr>
        <w:pStyle w:val="FootnoteText"/>
      </w:pPr>
      <w:r>
        <w:rPr>
          <w:rStyle w:val="FootnoteReference"/>
        </w:rPr>
        <w:footnoteRef/>
      </w:r>
      <w:r>
        <w:t xml:space="preserve"> </w:t>
      </w:r>
      <w:r>
        <w:t>J. Salem, R. Rogers, and C. Heb, "Crack propagation in calcium fluoride single crystals", Optical Engineering, July 2023, Vol. 62(7)</w:t>
      </w:r>
      <w:r>
        <w:t xml:space="preserve"> </w:t>
      </w:r>
      <w:hyperlink r:id="rId7" w:history="1">
        <w:r w:rsidRPr="005465E1">
          <w:rPr>
            <w:rStyle w:val="Hyperlink"/>
          </w:rPr>
          <w:t>https://www.spiedigitallibrary.org/journals/optical-engineering/volume-62/issue-7/077102/Crack-propagation-in-calcium-fluoride-single-crystals/10.1117/1.OE.62.7.077102.full</w:t>
        </w:r>
      </w:hyperlink>
      <w:r>
        <w:t xml:space="preserve"> </w:t>
      </w:r>
    </w:p>
  </w:footnote>
  <w:footnote w:id="13">
    <w:p w14:paraId="4D3A075B" w14:textId="77777777" w:rsidR="007945F8" w:rsidRDefault="007945F8">
      <w:pPr>
        <w:pStyle w:val="FootnoteText"/>
      </w:pPr>
      <w:r>
        <w:rPr>
          <w:rStyle w:val="FootnoteReference"/>
        </w:rPr>
        <w:footnoteRef/>
      </w:r>
      <w:r>
        <w:t xml:space="preserve"> W.C. Young, </w:t>
      </w:r>
      <w:r w:rsidRPr="00B716C5">
        <w:rPr>
          <w:u w:val="single"/>
        </w:rPr>
        <w:t>Roark’s Formulas for Stress &amp; Strain</w:t>
      </w:r>
      <w:r>
        <w:t>, 6</w:t>
      </w:r>
      <w:r w:rsidRPr="00E11147">
        <w:rPr>
          <w:vertAlign w:val="superscript"/>
        </w:rPr>
        <w:t>th</w:t>
      </w:r>
      <w:r>
        <w:t xml:space="preserve"> ed., Mc-Graw-Hill, 1989, Table 24, case 10a with r</w:t>
      </w:r>
      <w:r w:rsidRPr="00E11147">
        <w:rPr>
          <w:vertAlign w:val="subscript"/>
        </w:rPr>
        <w:t>0</w:t>
      </w:r>
      <w:r>
        <w:t>=0</w:t>
      </w:r>
    </w:p>
  </w:footnote>
  <w:footnote w:id="14">
    <w:p w14:paraId="4638FD7C" w14:textId="77777777" w:rsidR="007945F8" w:rsidRDefault="007945F8">
      <w:pPr>
        <w:pStyle w:val="FootnoteText"/>
      </w:pPr>
      <w:r>
        <w:rPr>
          <w:rStyle w:val="FootnoteReference"/>
        </w:rPr>
        <w:footnoteRef/>
      </w:r>
      <w:r>
        <w:t xml:space="preserve"> Even though the window is quite thick, its response is </w:t>
      </w:r>
      <w:r w:rsidRPr="001E04F3">
        <w:t>dominated by the plate stiffness, D</w:t>
      </w:r>
      <w:r>
        <w:t xml:space="preserve"> (i.e. t</w:t>
      </w:r>
      <w:r w:rsidRPr="001E04F3">
        <w:t>he elastic modulus</w:t>
      </w:r>
      <w:r>
        <w:t xml:space="preserve">, E, and Poisson’s ratio, </w:t>
      </w:r>
      <w:r>
        <w:rPr>
          <w:rFonts w:ascii="Calibri" w:hAnsi="Calibri" w:cs="Calibri"/>
        </w:rPr>
        <w:t>ν</w:t>
      </w:r>
      <w:r>
        <w:t>)</w:t>
      </w:r>
      <w:r w:rsidRPr="001E04F3">
        <w:t xml:space="preserve">, as opposed to the bulk </w:t>
      </w:r>
      <w:r>
        <w:t>modulus, K.</w:t>
      </w:r>
    </w:p>
  </w:footnote>
  <w:footnote w:id="15">
    <w:p w14:paraId="13614635" w14:textId="77777777" w:rsidR="007945F8" w:rsidRDefault="007945F8">
      <w:pPr>
        <w:pStyle w:val="FootnoteText"/>
      </w:pPr>
      <w:r>
        <w:rPr>
          <w:rStyle w:val="FootnoteReference"/>
        </w:rPr>
        <w:footnoteRef/>
      </w:r>
      <w:r>
        <w:t xml:space="preserve"> D. Coyne, “</w:t>
      </w:r>
      <w:r w:rsidRPr="00AC5CE9">
        <w:t>Design of the Elastomeric Sealed, High Quality, Viewports</w:t>
      </w:r>
      <w:r>
        <w:t xml:space="preserve">”, </w:t>
      </w:r>
      <w:hyperlink r:id="rId8" w:history="1">
        <w:r w:rsidRPr="00AC5CE9">
          <w:rPr>
            <w:rStyle w:val="Hyperlink"/>
          </w:rPr>
          <w:t>T1100346</w:t>
        </w:r>
      </w:hyperlink>
      <w:r>
        <w:t>-v2.</w:t>
      </w:r>
    </w:p>
  </w:footnote>
  <w:footnote w:id="16">
    <w:p w14:paraId="15CF0FA9" w14:textId="77777777" w:rsidR="007945F8" w:rsidRDefault="007945F8">
      <w:pPr>
        <w:pStyle w:val="FootnoteText"/>
      </w:pPr>
      <w:r>
        <w:rPr>
          <w:rStyle w:val="FootnoteReference"/>
        </w:rPr>
        <w:footnoteRef/>
      </w:r>
      <w:r>
        <w:t xml:space="preserve"> M. Jacobson, “</w:t>
      </w:r>
      <w:r w:rsidRPr="00AC5CE9">
        <w:t xml:space="preserve">Analysis Report of </w:t>
      </w:r>
      <w:proofErr w:type="spellStart"/>
      <w:r w:rsidRPr="00AC5CE9">
        <w:t>ZnSe</w:t>
      </w:r>
      <w:proofErr w:type="spellEnd"/>
      <w:r w:rsidRPr="00AC5CE9">
        <w:t xml:space="preserve"> Viewports for </w:t>
      </w:r>
      <w:proofErr w:type="spellStart"/>
      <w:r w:rsidRPr="00AC5CE9">
        <w:t>aLIGO</w:t>
      </w:r>
      <w:proofErr w:type="spellEnd"/>
      <w:r w:rsidRPr="00AC5CE9">
        <w:t xml:space="preserve"> TCS</w:t>
      </w:r>
      <w:r>
        <w:t xml:space="preserve">”, </w:t>
      </w:r>
      <w:hyperlink r:id="rId9" w:history="1">
        <w:r w:rsidRPr="00AC5CE9">
          <w:rPr>
            <w:rStyle w:val="Hyperlink"/>
          </w:rPr>
          <w:t>E1100379</w:t>
        </w:r>
      </w:hyperlink>
      <w:r>
        <w:t xml:space="preserve">-v3. </w:t>
      </w:r>
      <w:r w:rsidRPr="00D10689">
        <w:rPr>
          <w:i/>
        </w:rPr>
        <w:t>N.B.: The –v3 version has an error in the finite element analysis under pressure load and will be corrected.</w:t>
      </w:r>
    </w:p>
  </w:footnote>
  <w:footnote w:id="17">
    <w:p w14:paraId="439886E8" w14:textId="77777777" w:rsidR="007B0E1C" w:rsidRDefault="007B0E1C">
      <w:pPr>
        <w:pStyle w:val="FootnoteText"/>
      </w:pPr>
      <w:r>
        <w:rPr>
          <w:rStyle w:val="FootnoteReference"/>
        </w:rPr>
        <w:footnoteRef/>
      </w:r>
      <w:r>
        <w:t xml:space="preserve"> </w:t>
      </w:r>
      <w:r w:rsidRPr="007B0E1C">
        <w:t xml:space="preserve">section 5.9 of "Advanced Light Source Vacuum Policy and Vacuum Guidelines for Beamlines and Experiment </w:t>
      </w:r>
      <w:proofErr w:type="spellStart"/>
      <w:r w:rsidRPr="007B0E1C">
        <w:t>Endstations</w:t>
      </w:r>
      <w:proofErr w:type="spellEnd"/>
      <w:r w:rsidRPr="007B0E1C">
        <w:t xml:space="preserve">", LBL-37713, UC-410, Aug 1995: </w:t>
      </w:r>
      <w:hyperlink r:id="rId10" w:history="1">
        <w:r w:rsidRPr="007B0E1C">
          <w:rPr>
            <w:rStyle w:val="Hyperlink"/>
          </w:rPr>
          <w:t>https://inis.iaea.org/search/search.aspx?orig_q=RN:27031742</w:t>
        </w:r>
      </w:hyperlink>
    </w:p>
  </w:footnote>
  <w:footnote w:id="18">
    <w:p w14:paraId="4D7C5B2E" w14:textId="77777777" w:rsidR="009D67B0" w:rsidRDefault="009D67B0">
      <w:pPr>
        <w:pStyle w:val="FootnoteText"/>
      </w:pPr>
      <w:r>
        <w:rPr>
          <w:rStyle w:val="FootnoteReference"/>
        </w:rPr>
        <w:footnoteRef/>
      </w:r>
      <w:r>
        <w:t xml:space="preserve"> A finite element stress analysis of a viewport similar to the nominal 6 inch diameter version used by LIGO was reported on pages 17-21 of the file “2008 07 18 SSV v1.6.ppt” filed in the LIGO DCC entry </w:t>
      </w:r>
      <w:hyperlink r:id="rId11" w:history="1">
        <w:r w:rsidRPr="009D67B0">
          <w:rPr>
            <w:rStyle w:val="Hyperlink"/>
          </w:rPr>
          <w:t>G080409</w:t>
        </w:r>
      </w:hyperlink>
      <w:r>
        <w:t>-v1.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EF55" w14:textId="77777777" w:rsidR="007945F8" w:rsidRDefault="007945F8">
    <w:pPr>
      <w:pStyle w:val="Header"/>
      <w:tabs>
        <w:tab w:val="clear" w:pos="4320"/>
        <w:tab w:val="center" w:pos="4680"/>
      </w:tabs>
      <w:jc w:val="left"/>
      <w:rPr>
        <w:sz w:val="20"/>
      </w:rPr>
    </w:pPr>
    <w:r>
      <w:rPr>
        <w:b/>
        <w:bCs/>
        <w:i/>
        <w:iCs/>
        <w:color w:val="0000FF"/>
        <w:sz w:val="20"/>
      </w:rPr>
      <w:t>LIGO</w:t>
    </w:r>
    <w:r w:rsidR="00337505">
      <w:rPr>
        <w:sz w:val="20"/>
      </w:rPr>
      <w:tab/>
      <w:t>LIGO-E1101226-v3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1C92" w14:textId="77777777" w:rsidR="007945F8" w:rsidRDefault="007945F8">
    <w:pPr>
      <w:pStyle w:val="Header"/>
      <w:jc w:val="right"/>
    </w:pPr>
    <w:r>
      <w:rPr>
        <w:b/>
        <w:caps/>
      </w:rPr>
      <w:t>Laser Interferometer Gravitational Wave Observatory</w:t>
    </w:r>
    <w:r>
      <w:rPr>
        <w:noProof/>
        <w:sz w:val="20"/>
      </w:rPr>
      <w:t xml:space="preserve"> </w:t>
    </w:r>
    <w:r w:rsidR="00000000">
      <w:rPr>
        <w:noProof/>
        <w:sz w:val="20"/>
      </w:rPr>
      <w:object w:dxaOrig="1440" w:dyaOrig="1440" w14:anchorId="047F1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75pt;margin-top:-.75pt;width:78.05pt;height:57pt;z-index:251657728;mso-position-horizontal-relative:text;mso-position-vertical-relative:text" fillcolor="#d49fff" strokecolor="#114ffb" strokeweight="1pt">
          <v:stroke startarrowwidth="narrow" startarrowlength="short" endarrowwidth="narrow" endarrowlength="short"/>
          <v:imagedata r:id="rId1" o:title=""/>
          <v:shadow color="#cecece"/>
          <w10:wrap type="topAndBottom"/>
        </v:shape>
        <o:OLEObject Type="Embed" ProgID="MSPhotoEd.3" ShapeID="_x0000_s1025" DrawAspect="Content" ObjectID="_181418061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E1EAAC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9DFA09A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DDC0981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5A4696"/>
    <w:multiLevelType w:val="multilevel"/>
    <w:tmpl w:val="30164A7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10497F2E"/>
    <w:multiLevelType w:val="multilevel"/>
    <w:tmpl w:val="C292178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0874F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C27F61"/>
    <w:multiLevelType w:val="hybridMultilevel"/>
    <w:tmpl w:val="1988E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B2B75"/>
    <w:multiLevelType w:val="hybridMultilevel"/>
    <w:tmpl w:val="A358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F6452"/>
    <w:multiLevelType w:val="multilevel"/>
    <w:tmpl w:val="429231C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1D046ADA"/>
    <w:multiLevelType w:val="multilevel"/>
    <w:tmpl w:val="EC9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6B6D38"/>
    <w:multiLevelType w:val="hybridMultilevel"/>
    <w:tmpl w:val="B25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34FC8"/>
    <w:multiLevelType w:val="hybridMultilevel"/>
    <w:tmpl w:val="D9485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E0043"/>
    <w:multiLevelType w:val="hybridMultilevel"/>
    <w:tmpl w:val="A84CF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53330"/>
    <w:multiLevelType w:val="multilevel"/>
    <w:tmpl w:val="0B168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A15C6E"/>
    <w:multiLevelType w:val="multilevel"/>
    <w:tmpl w:val="54F251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5163E36"/>
    <w:multiLevelType w:val="multilevel"/>
    <w:tmpl w:val="CF42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404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FA6421"/>
    <w:multiLevelType w:val="hybridMultilevel"/>
    <w:tmpl w:val="0DCA3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D7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B66B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5723ED"/>
    <w:multiLevelType w:val="singleLevel"/>
    <w:tmpl w:val="F78ECE74"/>
    <w:lvl w:ilvl="0">
      <w:start w:val="2"/>
      <w:numFmt w:val="decimal"/>
      <w:lvlText w:val="%1"/>
      <w:lvlJc w:val="left"/>
      <w:pPr>
        <w:tabs>
          <w:tab w:val="num" w:pos="720"/>
        </w:tabs>
        <w:ind w:left="720" w:hanging="720"/>
      </w:pPr>
      <w:rPr>
        <w:rFonts w:hint="default"/>
        <w:i w:val="0"/>
        <w:sz w:val="28"/>
      </w:rPr>
    </w:lvl>
  </w:abstractNum>
  <w:abstractNum w:abstractNumId="21" w15:restartNumberingAfterBreak="0">
    <w:nsid w:val="60B37888"/>
    <w:multiLevelType w:val="multilevel"/>
    <w:tmpl w:val="4FE0C2D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3FC0392"/>
    <w:multiLevelType w:val="multilevel"/>
    <w:tmpl w:val="EFFE61D4"/>
    <w:lvl w:ilvl="0">
      <w:start w:val="2"/>
      <w:numFmt w:val="decimal"/>
      <w:lvlText w:val="%1"/>
      <w:lvlJc w:val="left"/>
      <w:pPr>
        <w:tabs>
          <w:tab w:val="num" w:pos="432"/>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5617CBE"/>
    <w:multiLevelType w:val="multilevel"/>
    <w:tmpl w:val="9978F8D0"/>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67E519F5"/>
    <w:multiLevelType w:val="hybridMultilevel"/>
    <w:tmpl w:val="F3A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A52E2"/>
    <w:multiLevelType w:val="singleLevel"/>
    <w:tmpl w:val="FE127BBC"/>
    <w:lvl w:ilvl="0">
      <w:start w:val="1"/>
      <w:numFmt w:val="decimal"/>
      <w:lvlText w:val="%1"/>
      <w:lvlJc w:val="left"/>
      <w:pPr>
        <w:tabs>
          <w:tab w:val="num" w:pos="720"/>
        </w:tabs>
        <w:ind w:left="720" w:hanging="720"/>
      </w:pPr>
      <w:rPr>
        <w:rFonts w:hint="default"/>
      </w:rPr>
    </w:lvl>
  </w:abstractNum>
  <w:abstractNum w:abstractNumId="26" w15:restartNumberingAfterBreak="0">
    <w:nsid w:val="76D633C9"/>
    <w:multiLevelType w:val="multilevel"/>
    <w:tmpl w:val="E5A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33082"/>
    <w:multiLevelType w:val="multilevel"/>
    <w:tmpl w:val="391C6F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65815957">
    <w:abstractNumId w:val="1"/>
  </w:num>
  <w:num w:numId="2" w16cid:durableId="2127505383">
    <w:abstractNumId w:val="0"/>
  </w:num>
  <w:num w:numId="3" w16cid:durableId="1491285548">
    <w:abstractNumId w:val="20"/>
  </w:num>
  <w:num w:numId="4" w16cid:durableId="409666894">
    <w:abstractNumId w:val="3"/>
  </w:num>
  <w:num w:numId="5" w16cid:durableId="780803015">
    <w:abstractNumId w:val="2"/>
  </w:num>
  <w:num w:numId="6" w16cid:durableId="2118131291">
    <w:abstractNumId w:val="4"/>
  </w:num>
  <w:num w:numId="7" w16cid:durableId="87432212">
    <w:abstractNumId w:val="8"/>
  </w:num>
  <w:num w:numId="8" w16cid:durableId="1832480064">
    <w:abstractNumId w:val="18"/>
  </w:num>
  <w:num w:numId="9" w16cid:durableId="717095542">
    <w:abstractNumId w:val="19"/>
  </w:num>
  <w:num w:numId="10" w16cid:durableId="502475560">
    <w:abstractNumId w:val="25"/>
  </w:num>
  <w:num w:numId="11" w16cid:durableId="711999259">
    <w:abstractNumId w:val="3"/>
  </w:num>
  <w:num w:numId="12" w16cid:durableId="241107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2793933">
    <w:abstractNumId w:val="5"/>
  </w:num>
  <w:num w:numId="14" w16cid:durableId="1354113107">
    <w:abstractNumId w:val="21"/>
  </w:num>
  <w:num w:numId="15" w16cid:durableId="192379486">
    <w:abstractNumId w:val="23"/>
  </w:num>
  <w:num w:numId="16" w16cid:durableId="72246159">
    <w:abstractNumId w:val="16"/>
  </w:num>
  <w:num w:numId="17" w16cid:durableId="616254676">
    <w:abstractNumId w:val="14"/>
  </w:num>
  <w:num w:numId="18" w16cid:durableId="482357023">
    <w:abstractNumId w:val="14"/>
  </w:num>
  <w:num w:numId="19" w16cid:durableId="1815684735">
    <w:abstractNumId w:val="14"/>
  </w:num>
  <w:num w:numId="20" w16cid:durableId="1447237075">
    <w:abstractNumId w:val="14"/>
  </w:num>
  <w:num w:numId="21" w16cid:durableId="984352369">
    <w:abstractNumId w:val="14"/>
    <w:lvlOverride w:ilvl="0">
      <w:lvl w:ilvl="0">
        <w:start w:val="2"/>
        <w:numFmt w:val="decimal"/>
        <w:lvlText w:val="%1"/>
        <w:lvlJc w:val="left"/>
        <w:pPr>
          <w:tabs>
            <w:tab w:val="num" w:pos="432"/>
          </w:tabs>
          <w:ind w:left="432" w:hanging="432"/>
        </w:pPr>
      </w:lvl>
    </w:lvlOverride>
    <w:lvlOverride w:ilvl="1">
      <w:lvl w:ilvl="1">
        <w:start w:val="1"/>
        <w:numFmt w:val="decimal"/>
        <w:lvlText w:val="1.%2 "/>
        <w:lvlJc w:val="left"/>
        <w:pPr>
          <w:tabs>
            <w:tab w:val="num" w:pos="576"/>
          </w:tabs>
          <w:ind w:left="576" w:hanging="576"/>
        </w:pPr>
      </w:lvl>
    </w:lvlOverride>
    <w:lvlOverride w:ilvl="2">
      <w:lvl w:ilvl="2">
        <w:start w:val="1"/>
        <w:numFmt w:val="decimal"/>
        <w:lvlText w:val="%1.%2.%3"/>
        <w:lvlJc w:val="left"/>
        <w:pPr>
          <w:tabs>
            <w:tab w:val="num" w:pos="720"/>
          </w:tabs>
          <w:ind w:left="720" w:hanging="720"/>
        </w:pPr>
      </w:lvl>
    </w:lvlOverride>
    <w:lvlOverride w:ilvl="3">
      <w:lvl w:ilvl="3">
        <w:start w:val="1"/>
        <w:numFmt w:val="decimal"/>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22" w16cid:durableId="974067207">
    <w:abstractNumId w:val="22"/>
  </w:num>
  <w:num w:numId="23" w16cid:durableId="580026331">
    <w:abstractNumId w:val="2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4" w16cid:durableId="622545175">
    <w:abstractNumId w:val="27"/>
  </w:num>
  <w:num w:numId="25" w16cid:durableId="532546859">
    <w:abstractNumId w:val="11"/>
  </w:num>
  <w:num w:numId="26" w16cid:durableId="1415666772">
    <w:abstractNumId w:val="6"/>
  </w:num>
  <w:num w:numId="27" w16cid:durableId="834148466">
    <w:abstractNumId w:val="17"/>
  </w:num>
  <w:num w:numId="28" w16cid:durableId="990132897">
    <w:abstractNumId w:val="12"/>
  </w:num>
  <w:num w:numId="29" w16cid:durableId="425853778">
    <w:abstractNumId w:val="7"/>
  </w:num>
  <w:num w:numId="30" w16cid:durableId="298728488">
    <w:abstractNumId w:val="24"/>
  </w:num>
  <w:num w:numId="31" w16cid:durableId="2000303856">
    <w:abstractNumId w:val="26"/>
  </w:num>
  <w:num w:numId="32" w16cid:durableId="925841901">
    <w:abstractNumId w:val="10"/>
  </w:num>
  <w:num w:numId="33" w16cid:durableId="1914386320">
    <w:abstractNumId w:val="15"/>
  </w:num>
  <w:num w:numId="34" w16cid:durableId="1289124605">
    <w:abstractNumId w:val="13"/>
  </w:num>
  <w:num w:numId="35" w16cid:durableId="277417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B2"/>
    <w:rsid w:val="00003269"/>
    <w:rsid w:val="00005E51"/>
    <w:rsid w:val="00014693"/>
    <w:rsid w:val="00014972"/>
    <w:rsid w:val="000252DE"/>
    <w:rsid w:val="000268F0"/>
    <w:rsid w:val="00030FFC"/>
    <w:rsid w:val="00033B0C"/>
    <w:rsid w:val="00035B94"/>
    <w:rsid w:val="00054E1C"/>
    <w:rsid w:val="00055FBE"/>
    <w:rsid w:val="00060A2F"/>
    <w:rsid w:val="000725CC"/>
    <w:rsid w:val="000A4F9A"/>
    <w:rsid w:val="000A5A8C"/>
    <w:rsid w:val="000A645C"/>
    <w:rsid w:val="000B63AB"/>
    <w:rsid w:val="000C2DBC"/>
    <w:rsid w:val="000D3DE9"/>
    <w:rsid w:val="000D7EF9"/>
    <w:rsid w:val="000E35FE"/>
    <w:rsid w:val="000F6E8A"/>
    <w:rsid w:val="000F759E"/>
    <w:rsid w:val="0010190B"/>
    <w:rsid w:val="00101D4E"/>
    <w:rsid w:val="00103504"/>
    <w:rsid w:val="00110558"/>
    <w:rsid w:val="00115AA5"/>
    <w:rsid w:val="0013108C"/>
    <w:rsid w:val="00134198"/>
    <w:rsid w:val="001478B9"/>
    <w:rsid w:val="00154993"/>
    <w:rsid w:val="00156957"/>
    <w:rsid w:val="001570C6"/>
    <w:rsid w:val="00172712"/>
    <w:rsid w:val="0017410E"/>
    <w:rsid w:val="001754DF"/>
    <w:rsid w:val="00176B3B"/>
    <w:rsid w:val="00194050"/>
    <w:rsid w:val="001966FE"/>
    <w:rsid w:val="001E04F3"/>
    <w:rsid w:val="001E0CD8"/>
    <w:rsid w:val="001E7BCB"/>
    <w:rsid w:val="001F37DB"/>
    <w:rsid w:val="0021105E"/>
    <w:rsid w:val="0022150C"/>
    <w:rsid w:val="002334BE"/>
    <w:rsid w:val="00235769"/>
    <w:rsid w:val="00236BA9"/>
    <w:rsid w:val="00246BA9"/>
    <w:rsid w:val="002501BD"/>
    <w:rsid w:val="00250A5D"/>
    <w:rsid w:val="00280A44"/>
    <w:rsid w:val="002937D4"/>
    <w:rsid w:val="002949C9"/>
    <w:rsid w:val="00295A4B"/>
    <w:rsid w:val="002C114F"/>
    <w:rsid w:val="002C634B"/>
    <w:rsid w:val="002C6B04"/>
    <w:rsid w:val="002D2DD8"/>
    <w:rsid w:val="002D7251"/>
    <w:rsid w:val="002F0D08"/>
    <w:rsid w:val="002F4DE9"/>
    <w:rsid w:val="0030481E"/>
    <w:rsid w:val="003059E2"/>
    <w:rsid w:val="00305AFD"/>
    <w:rsid w:val="0031401F"/>
    <w:rsid w:val="00337505"/>
    <w:rsid w:val="00341261"/>
    <w:rsid w:val="00343193"/>
    <w:rsid w:val="00345E0D"/>
    <w:rsid w:val="003568DC"/>
    <w:rsid w:val="0036226E"/>
    <w:rsid w:val="0036604F"/>
    <w:rsid w:val="003812BB"/>
    <w:rsid w:val="0038527C"/>
    <w:rsid w:val="00385511"/>
    <w:rsid w:val="003A2B00"/>
    <w:rsid w:val="003A2D7D"/>
    <w:rsid w:val="003A50D7"/>
    <w:rsid w:val="003C13D0"/>
    <w:rsid w:val="003D0D8B"/>
    <w:rsid w:val="003F3714"/>
    <w:rsid w:val="003F3DC5"/>
    <w:rsid w:val="003F6EDB"/>
    <w:rsid w:val="004005C6"/>
    <w:rsid w:val="00426919"/>
    <w:rsid w:val="004365F8"/>
    <w:rsid w:val="0046044B"/>
    <w:rsid w:val="004651B6"/>
    <w:rsid w:val="004710B7"/>
    <w:rsid w:val="00473D0A"/>
    <w:rsid w:val="00475431"/>
    <w:rsid w:val="0048044C"/>
    <w:rsid w:val="00482401"/>
    <w:rsid w:val="00485648"/>
    <w:rsid w:val="00490B53"/>
    <w:rsid w:val="004953A0"/>
    <w:rsid w:val="004955F0"/>
    <w:rsid w:val="00496BEE"/>
    <w:rsid w:val="004A0CF3"/>
    <w:rsid w:val="004A2C52"/>
    <w:rsid w:val="004A2F17"/>
    <w:rsid w:val="004A5887"/>
    <w:rsid w:val="004A7490"/>
    <w:rsid w:val="004C333E"/>
    <w:rsid w:val="004D22A3"/>
    <w:rsid w:val="004D6BAD"/>
    <w:rsid w:val="004E2D39"/>
    <w:rsid w:val="004E7460"/>
    <w:rsid w:val="004F5836"/>
    <w:rsid w:val="00503AD4"/>
    <w:rsid w:val="005048A5"/>
    <w:rsid w:val="005121F3"/>
    <w:rsid w:val="00512326"/>
    <w:rsid w:val="00524BD0"/>
    <w:rsid w:val="005356F1"/>
    <w:rsid w:val="00540A2B"/>
    <w:rsid w:val="0054334E"/>
    <w:rsid w:val="00547914"/>
    <w:rsid w:val="00553B3F"/>
    <w:rsid w:val="0056344C"/>
    <w:rsid w:val="00566BF3"/>
    <w:rsid w:val="00576E93"/>
    <w:rsid w:val="005867F4"/>
    <w:rsid w:val="005A233F"/>
    <w:rsid w:val="005A4F73"/>
    <w:rsid w:val="005C3D41"/>
    <w:rsid w:val="005C4530"/>
    <w:rsid w:val="005C576D"/>
    <w:rsid w:val="005D3650"/>
    <w:rsid w:val="005D7BF8"/>
    <w:rsid w:val="005E0561"/>
    <w:rsid w:val="005E13FE"/>
    <w:rsid w:val="005E487A"/>
    <w:rsid w:val="005F0941"/>
    <w:rsid w:val="005F3995"/>
    <w:rsid w:val="005F3DC1"/>
    <w:rsid w:val="005F48B2"/>
    <w:rsid w:val="006012D0"/>
    <w:rsid w:val="006023C7"/>
    <w:rsid w:val="00603033"/>
    <w:rsid w:val="00613BD0"/>
    <w:rsid w:val="00631C44"/>
    <w:rsid w:val="006351AB"/>
    <w:rsid w:val="0063749B"/>
    <w:rsid w:val="00652805"/>
    <w:rsid w:val="0066401A"/>
    <w:rsid w:val="00676544"/>
    <w:rsid w:val="00681DC4"/>
    <w:rsid w:val="00682DC5"/>
    <w:rsid w:val="00690674"/>
    <w:rsid w:val="00695421"/>
    <w:rsid w:val="006A032F"/>
    <w:rsid w:val="006B50BD"/>
    <w:rsid w:val="006C226C"/>
    <w:rsid w:val="006E7DDA"/>
    <w:rsid w:val="006F3B23"/>
    <w:rsid w:val="006F3C71"/>
    <w:rsid w:val="00703086"/>
    <w:rsid w:val="0070362E"/>
    <w:rsid w:val="00710E1A"/>
    <w:rsid w:val="00723E44"/>
    <w:rsid w:val="00727BC7"/>
    <w:rsid w:val="00732CCD"/>
    <w:rsid w:val="007470FF"/>
    <w:rsid w:val="00762D10"/>
    <w:rsid w:val="007634B0"/>
    <w:rsid w:val="007760BB"/>
    <w:rsid w:val="00776291"/>
    <w:rsid w:val="007806C0"/>
    <w:rsid w:val="0078145B"/>
    <w:rsid w:val="00782F97"/>
    <w:rsid w:val="007879EB"/>
    <w:rsid w:val="0079266B"/>
    <w:rsid w:val="007945F8"/>
    <w:rsid w:val="007B0E1C"/>
    <w:rsid w:val="007B1C2B"/>
    <w:rsid w:val="007C7C42"/>
    <w:rsid w:val="007D6FAC"/>
    <w:rsid w:val="007F2700"/>
    <w:rsid w:val="007F49FF"/>
    <w:rsid w:val="007F6BC2"/>
    <w:rsid w:val="00802F02"/>
    <w:rsid w:val="0081030E"/>
    <w:rsid w:val="00824906"/>
    <w:rsid w:val="00832753"/>
    <w:rsid w:val="00845CED"/>
    <w:rsid w:val="00846488"/>
    <w:rsid w:val="0085416D"/>
    <w:rsid w:val="008A1122"/>
    <w:rsid w:val="008A1406"/>
    <w:rsid w:val="008B13C2"/>
    <w:rsid w:val="008B4064"/>
    <w:rsid w:val="008B5344"/>
    <w:rsid w:val="008C0FA3"/>
    <w:rsid w:val="008C40F4"/>
    <w:rsid w:val="008C4412"/>
    <w:rsid w:val="008C6F4E"/>
    <w:rsid w:val="008C7B29"/>
    <w:rsid w:val="008E1478"/>
    <w:rsid w:val="008E4458"/>
    <w:rsid w:val="008F1A3D"/>
    <w:rsid w:val="00900289"/>
    <w:rsid w:val="009022BF"/>
    <w:rsid w:val="00910C47"/>
    <w:rsid w:val="009113C8"/>
    <w:rsid w:val="009125A1"/>
    <w:rsid w:val="0091438A"/>
    <w:rsid w:val="009144A3"/>
    <w:rsid w:val="00920EB8"/>
    <w:rsid w:val="00924E59"/>
    <w:rsid w:val="00925559"/>
    <w:rsid w:val="00925DC2"/>
    <w:rsid w:val="009336E5"/>
    <w:rsid w:val="0094377C"/>
    <w:rsid w:val="00944B4F"/>
    <w:rsid w:val="00957CDE"/>
    <w:rsid w:val="00961209"/>
    <w:rsid w:val="009642E3"/>
    <w:rsid w:val="00965AD7"/>
    <w:rsid w:val="00976818"/>
    <w:rsid w:val="0097765E"/>
    <w:rsid w:val="00990B1D"/>
    <w:rsid w:val="00991856"/>
    <w:rsid w:val="00991D23"/>
    <w:rsid w:val="00994B08"/>
    <w:rsid w:val="009A4C22"/>
    <w:rsid w:val="009A5C72"/>
    <w:rsid w:val="009C2A51"/>
    <w:rsid w:val="009D67B0"/>
    <w:rsid w:val="009E1E32"/>
    <w:rsid w:val="009E2F49"/>
    <w:rsid w:val="009F7646"/>
    <w:rsid w:val="00A002E6"/>
    <w:rsid w:val="00A06894"/>
    <w:rsid w:val="00A1374F"/>
    <w:rsid w:val="00A166F0"/>
    <w:rsid w:val="00A17843"/>
    <w:rsid w:val="00A323BC"/>
    <w:rsid w:val="00A359AD"/>
    <w:rsid w:val="00A36ADF"/>
    <w:rsid w:val="00A36C3E"/>
    <w:rsid w:val="00A42228"/>
    <w:rsid w:val="00A42DAC"/>
    <w:rsid w:val="00A467BF"/>
    <w:rsid w:val="00A53CC9"/>
    <w:rsid w:val="00A855E2"/>
    <w:rsid w:val="00A944F7"/>
    <w:rsid w:val="00AA1496"/>
    <w:rsid w:val="00AA388B"/>
    <w:rsid w:val="00AC0B9A"/>
    <w:rsid w:val="00AC3D82"/>
    <w:rsid w:val="00AC4863"/>
    <w:rsid w:val="00AC5CE9"/>
    <w:rsid w:val="00AD7D71"/>
    <w:rsid w:val="00AE34FE"/>
    <w:rsid w:val="00AE5733"/>
    <w:rsid w:val="00B011C8"/>
    <w:rsid w:val="00B04A7D"/>
    <w:rsid w:val="00B04CD1"/>
    <w:rsid w:val="00B216FA"/>
    <w:rsid w:val="00B23878"/>
    <w:rsid w:val="00B3185C"/>
    <w:rsid w:val="00B37077"/>
    <w:rsid w:val="00B43449"/>
    <w:rsid w:val="00B5380C"/>
    <w:rsid w:val="00B5424C"/>
    <w:rsid w:val="00B6101C"/>
    <w:rsid w:val="00B62ABD"/>
    <w:rsid w:val="00B65EAD"/>
    <w:rsid w:val="00B716C5"/>
    <w:rsid w:val="00B82AD1"/>
    <w:rsid w:val="00BA10A9"/>
    <w:rsid w:val="00BB2F79"/>
    <w:rsid w:val="00BB4D3C"/>
    <w:rsid w:val="00BC0404"/>
    <w:rsid w:val="00BC4E58"/>
    <w:rsid w:val="00BC5ED4"/>
    <w:rsid w:val="00BE452E"/>
    <w:rsid w:val="00BE4E70"/>
    <w:rsid w:val="00BE6168"/>
    <w:rsid w:val="00BE68B9"/>
    <w:rsid w:val="00C0773B"/>
    <w:rsid w:val="00C1010B"/>
    <w:rsid w:val="00C264FA"/>
    <w:rsid w:val="00C276C4"/>
    <w:rsid w:val="00C3039C"/>
    <w:rsid w:val="00C31A63"/>
    <w:rsid w:val="00C331CD"/>
    <w:rsid w:val="00C530C8"/>
    <w:rsid w:val="00C665BC"/>
    <w:rsid w:val="00C759E9"/>
    <w:rsid w:val="00C75F19"/>
    <w:rsid w:val="00C77147"/>
    <w:rsid w:val="00C87CF7"/>
    <w:rsid w:val="00C92C08"/>
    <w:rsid w:val="00CB0F56"/>
    <w:rsid w:val="00CB21E3"/>
    <w:rsid w:val="00CB5232"/>
    <w:rsid w:val="00CC3B9F"/>
    <w:rsid w:val="00CD7481"/>
    <w:rsid w:val="00CD7EB7"/>
    <w:rsid w:val="00CE1A94"/>
    <w:rsid w:val="00CE2C97"/>
    <w:rsid w:val="00CE6141"/>
    <w:rsid w:val="00CF63BF"/>
    <w:rsid w:val="00D070A3"/>
    <w:rsid w:val="00D10689"/>
    <w:rsid w:val="00D12C44"/>
    <w:rsid w:val="00D221CE"/>
    <w:rsid w:val="00D271D7"/>
    <w:rsid w:val="00D46085"/>
    <w:rsid w:val="00D50E15"/>
    <w:rsid w:val="00D63EF7"/>
    <w:rsid w:val="00D678F1"/>
    <w:rsid w:val="00D80850"/>
    <w:rsid w:val="00D820B3"/>
    <w:rsid w:val="00D84847"/>
    <w:rsid w:val="00D877C0"/>
    <w:rsid w:val="00D905E9"/>
    <w:rsid w:val="00D90B42"/>
    <w:rsid w:val="00D90BF2"/>
    <w:rsid w:val="00D9649D"/>
    <w:rsid w:val="00D96CB3"/>
    <w:rsid w:val="00DB0565"/>
    <w:rsid w:val="00DC1471"/>
    <w:rsid w:val="00DC3628"/>
    <w:rsid w:val="00DD0F26"/>
    <w:rsid w:val="00DD3E19"/>
    <w:rsid w:val="00DF66CA"/>
    <w:rsid w:val="00E017F5"/>
    <w:rsid w:val="00E07028"/>
    <w:rsid w:val="00E11147"/>
    <w:rsid w:val="00E21018"/>
    <w:rsid w:val="00E23D88"/>
    <w:rsid w:val="00E2533E"/>
    <w:rsid w:val="00E271E7"/>
    <w:rsid w:val="00E35D45"/>
    <w:rsid w:val="00E62AFA"/>
    <w:rsid w:val="00E66298"/>
    <w:rsid w:val="00E731CA"/>
    <w:rsid w:val="00E828F1"/>
    <w:rsid w:val="00E93187"/>
    <w:rsid w:val="00EA3C0D"/>
    <w:rsid w:val="00EA3ECB"/>
    <w:rsid w:val="00EC16CE"/>
    <w:rsid w:val="00EF2270"/>
    <w:rsid w:val="00F22FBA"/>
    <w:rsid w:val="00F2306D"/>
    <w:rsid w:val="00F43597"/>
    <w:rsid w:val="00F479C7"/>
    <w:rsid w:val="00F5292B"/>
    <w:rsid w:val="00F571EC"/>
    <w:rsid w:val="00F65452"/>
    <w:rsid w:val="00F745B4"/>
    <w:rsid w:val="00F803B9"/>
    <w:rsid w:val="00F844D7"/>
    <w:rsid w:val="00FA4EF8"/>
    <w:rsid w:val="00FA6645"/>
    <w:rsid w:val="00FB3DAE"/>
    <w:rsid w:val="00FB439F"/>
    <w:rsid w:val="00FC34F0"/>
    <w:rsid w:val="00FC3C14"/>
    <w:rsid w:val="00FE2740"/>
    <w:rsid w:val="00FF1F40"/>
    <w:rsid w:val="00FF4661"/>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9BB12B3"/>
  <w15:docId w15:val="{FF1E7872-170D-454A-9CBD-9ABF5C14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79EB"/>
    <w:pPr>
      <w:spacing w:before="120"/>
      <w:jc w:val="both"/>
    </w:pPr>
    <w:rPr>
      <w:sz w:val="24"/>
    </w:rPr>
  </w:style>
  <w:style w:type="paragraph" w:styleId="Heading1">
    <w:name w:val="heading 1"/>
    <w:basedOn w:val="Normal"/>
    <w:next w:val="Normal"/>
    <w:autoRedefine/>
    <w:qFormat/>
    <w:pPr>
      <w:keepNext/>
      <w:numPr>
        <w:numId w:val="24"/>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24"/>
      </w:numPr>
      <w:spacing w:before="240" w:after="60"/>
      <w:outlineLvl w:val="1"/>
    </w:pPr>
    <w:rPr>
      <w:rFonts w:ascii="Arial" w:hAnsi="Arial"/>
      <w:b/>
      <w:sz w:val="26"/>
    </w:rPr>
  </w:style>
  <w:style w:type="paragraph" w:styleId="Heading3">
    <w:name w:val="heading 3"/>
    <w:basedOn w:val="Normal"/>
    <w:next w:val="Normal"/>
    <w:link w:val="Heading3Char"/>
    <w:autoRedefine/>
    <w:qFormat/>
    <w:pPr>
      <w:keepNext/>
      <w:numPr>
        <w:ilvl w:val="2"/>
        <w:numId w:val="24"/>
      </w:numPr>
      <w:spacing w:before="240" w:after="60"/>
      <w:outlineLvl w:val="2"/>
    </w:pPr>
    <w:rPr>
      <w:rFonts w:ascii="Arial" w:hAnsi="Arial"/>
      <w:b/>
    </w:rPr>
  </w:style>
  <w:style w:type="paragraph" w:styleId="Heading4">
    <w:name w:val="heading 4"/>
    <w:basedOn w:val="Normal"/>
    <w:next w:val="Normal"/>
    <w:autoRedefine/>
    <w:qFormat/>
    <w:pPr>
      <w:keepNext/>
      <w:numPr>
        <w:ilvl w:val="3"/>
        <w:numId w:val="24"/>
      </w:numPr>
      <w:spacing w:before="240" w:after="60"/>
      <w:outlineLvl w:val="3"/>
    </w:pPr>
    <w:rPr>
      <w:rFonts w:ascii="Arial" w:hAnsi="Arial"/>
      <w:b/>
    </w:rPr>
  </w:style>
  <w:style w:type="paragraph" w:styleId="Heading5">
    <w:name w:val="heading 5"/>
    <w:basedOn w:val="Normal"/>
    <w:next w:val="Normal"/>
    <w:qFormat/>
    <w:pPr>
      <w:keepNext/>
      <w:numPr>
        <w:ilvl w:val="4"/>
        <w:numId w:val="24"/>
      </w:numPr>
      <w:outlineLvl w:val="4"/>
    </w:pPr>
    <w:rPr>
      <w:b/>
    </w:rPr>
  </w:style>
  <w:style w:type="paragraph" w:styleId="Heading6">
    <w:name w:val="heading 6"/>
    <w:basedOn w:val="Normal"/>
    <w:next w:val="Normal"/>
    <w:qFormat/>
    <w:pPr>
      <w:numPr>
        <w:ilvl w:val="5"/>
        <w:numId w:val="24"/>
      </w:numPr>
      <w:spacing w:before="240" w:after="60"/>
      <w:outlineLvl w:val="5"/>
    </w:pPr>
    <w:rPr>
      <w:i/>
      <w:sz w:val="22"/>
    </w:rPr>
  </w:style>
  <w:style w:type="paragraph" w:styleId="Heading7">
    <w:name w:val="heading 7"/>
    <w:basedOn w:val="Normal"/>
    <w:next w:val="Normal"/>
    <w:qFormat/>
    <w:pPr>
      <w:numPr>
        <w:ilvl w:val="6"/>
        <w:numId w:val="24"/>
      </w:numPr>
      <w:spacing w:before="240" w:after="60"/>
      <w:outlineLvl w:val="6"/>
    </w:pPr>
    <w:rPr>
      <w:rFonts w:ascii="Arial" w:hAnsi="Arial"/>
      <w:sz w:val="20"/>
    </w:rPr>
  </w:style>
  <w:style w:type="paragraph" w:styleId="Heading8">
    <w:name w:val="heading 8"/>
    <w:basedOn w:val="Normal"/>
    <w:next w:val="Normal"/>
    <w:qFormat/>
    <w:pPr>
      <w:numPr>
        <w:ilvl w:val="7"/>
        <w:numId w:val="24"/>
      </w:numPr>
      <w:spacing w:before="240" w:after="60"/>
      <w:outlineLvl w:val="7"/>
    </w:pPr>
    <w:rPr>
      <w:rFonts w:ascii="Arial" w:hAnsi="Arial"/>
      <w:i/>
      <w:sz w:val="20"/>
    </w:rPr>
  </w:style>
  <w:style w:type="paragraph" w:styleId="Heading9">
    <w:name w:val="heading 9"/>
    <w:basedOn w:val="Normal"/>
    <w:next w:val="Normal"/>
    <w:qFormat/>
    <w:pPr>
      <w:numPr>
        <w:ilvl w:val="8"/>
        <w:numId w:val="24"/>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tyle>
  <w:style w:type="paragraph" w:styleId="DocumentMap">
    <w:name w:val="Document Map"/>
    <w:basedOn w:val="Normal"/>
    <w:semiHidden/>
    <w:pPr>
      <w:shd w:val="clear" w:color="auto" w:fill="000080"/>
    </w:pPr>
    <w:rPr>
      <w:rFonts w:ascii="Tahoma" w:hAnsi="Tahoma"/>
    </w:rPr>
  </w:style>
  <w:style w:type="paragraph" w:customStyle="1" w:styleId="HTMLBody">
    <w:name w:val="HTML Body"/>
    <w:rPr>
      <w:rFonts w:ascii="Courier New" w:hAnsi="Courier New"/>
      <w:snapToGrid w:val="0"/>
    </w:rPr>
  </w:style>
  <w:style w:type="paragraph" w:styleId="ListNumber">
    <w:name w:val="List Number"/>
    <w:basedOn w:val="Normal"/>
    <w:pPr>
      <w:numPr>
        <w:numId w:val="1"/>
      </w:numPr>
    </w:pPr>
  </w:style>
  <w:style w:type="paragraph" w:styleId="ListNumber2">
    <w:name w:val="List Number 2"/>
    <w:basedOn w:val="Normal"/>
    <w:pPr>
      <w:numPr>
        <w:numId w:val="2"/>
      </w:numPr>
    </w:pPr>
  </w:style>
  <w:style w:type="paragraph" w:styleId="ListBullet">
    <w:name w:val="List Bullet"/>
    <w:basedOn w:val="Normal"/>
    <w:autoRedefine/>
    <w:pPr>
      <w:numPr>
        <w:numId w:val="5"/>
      </w:numPr>
    </w:pPr>
  </w:style>
  <w:style w:type="paragraph" w:styleId="Caption">
    <w:name w:val="caption"/>
    <w:basedOn w:val="Normal"/>
    <w:next w:val="Normal"/>
    <w:qFormat/>
    <w:pPr>
      <w:spacing w:after="120"/>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center"/>
    </w:pPr>
    <w:rPr>
      <w:rFonts w:ascii="Times" w:hAnsi="Times"/>
      <w:sz w:val="40"/>
    </w:rPr>
  </w:style>
  <w:style w:type="paragraph" w:styleId="TableofFigures">
    <w:name w:val="table of figures"/>
    <w:basedOn w:val="Normal"/>
    <w:next w:val="Normal"/>
    <w:uiPriority w:val="99"/>
    <w:rsid w:val="008B4064"/>
    <w:pPr>
      <w:tabs>
        <w:tab w:val="left" w:pos="1200"/>
        <w:tab w:val="right" w:leader="dot" w:pos="9580"/>
      </w:tabs>
      <w:spacing w:before="0"/>
      <w:ind w:left="1170" w:hanging="1170"/>
      <w:jc w:val="left"/>
    </w:pPr>
    <w:rPr>
      <w:i/>
      <w:iCs/>
      <w:szCs w:val="24"/>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jc w:val="left"/>
    </w:pPr>
    <w:rPr>
      <w:b/>
      <w:bCs/>
      <w:i/>
      <w:iCs/>
      <w:szCs w:val="28"/>
    </w:rPr>
  </w:style>
  <w:style w:type="paragraph" w:styleId="TOC2">
    <w:name w:val="toc 2"/>
    <w:basedOn w:val="Normal"/>
    <w:next w:val="Normal"/>
    <w:autoRedefine/>
    <w:uiPriority w:val="39"/>
    <w:pPr>
      <w:ind w:left="240"/>
      <w:jc w:val="left"/>
    </w:pPr>
    <w:rPr>
      <w:b/>
      <w:bCs/>
      <w:szCs w:val="26"/>
    </w:rPr>
  </w:style>
  <w:style w:type="paragraph" w:styleId="TOC3">
    <w:name w:val="toc 3"/>
    <w:basedOn w:val="Normal"/>
    <w:next w:val="Normal"/>
    <w:autoRedefine/>
    <w:uiPriority w:val="39"/>
    <w:pPr>
      <w:spacing w:before="0"/>
      <w:ind w:left="480"/>
      <w:jc w:val="left"/>
    </w:pPr>
    <w:rPr>
      <w:szCs w:val="24"/>
    </w:rPr>
  </w:style>
  <w:style w:type="paragraph" w:styleId="TOC4">
    <w:name w:val="toc 4"/>
    <w:basedOn w:val="Normal"/>
    <w:next w:val="Normal"/>
    <w:autoRedefine/>
    <w:semiHidden/>
    <w:pPr>
      <w:spacing w:before="0"/>
      <w:ind w:left="720"/>
      <w:jc w:val="left"/>
    </w:pPr>
    <w:rPr>
      <w:szCs w:val="24"/>
    </w:rPr>
  </w:style>
  <w:style w:type="paragraph" w:styleId="TOC5">
    <w:name w:val="toc 5"/>
    <w:basedOn w:val="Normal"/>
    <w:next w:val="Normal"/>
    <w:autoRedefine/>
    <w:semiHidden/>
    <w:pPr>
      <w:spacing w:before="0"/>
      <w:ind w:left="960"/>
      <w:jc w:val="left"/>
    </w:pPr>
    <w:rPr>
      <w:szCs w:val="24"/>
    </w:rPr>
  </w:style>
  <w:style w:type="paragraph" w:styleId="TOC6">
    <w:name w:val="toc 6"/>
    <w:basedOn w:val="Normal"/>
    <w:next w:val="Normal"/>
    <w:autoRedefine/>
    <w:semiHidden/>
    <w:pPr>
      <w:spacing w:before="0"/>
      <w:ind w:left="1200"/>
      <w:jc w:val="left"/>
    </w:pPr>
    <w:rPr>
      <w:szCs w:val="24"/>
    </w:rPr>
  </w:style>
  <w:style w:type="paragraph" w:styleId="TOC7">
    <w:name w:val="toc 7"/>
    <w:basedOn w:val="Normal"/>
    <w:next w:val="Normal"/>
    <w:autoRedefine/>
    <w:semiHidden/>
    <w:pPr>
      <w:spacing w:before="0"/>
      <w:ind w:left="1440"/>
      <w:jc w:val="left"/>
    </w:pPr>
    <w:rPr>
      <w:szCs w:val="24"/>
    </w:rPr>
  </w:style>
  <w:style w:type="paragraph" w:styleId="TOC8">
    <w:name w:val="toc 8"/>
    <w:basedOn w:val="Normal"/>
    <w:next w:val="Normal"/>
    <w:autoRedefine/>
    <w:semiHidden/>
    <w:pPr>
      <w:spacing w:before="0"/>
      <w:ind w:left="1680"/>
      <w:jc w:val="left"/>
    </w:pPr>
    <w:rPr>
      <w:szCs w:val="24"/>
    </w:rPr>
  </w:style>
  <w:style w:type="paragraph" w:styleId="TOC9">
    <w:name w:val="toc 9"/>
    <w:basedOn w:val="Normal"/>
    <w:next w:val="Normal"/>
    <w:autoRedefine/>
    <w:semiHidden/>
    <w:pPr>
      <w:spacing w:before="0"/>
      <w:ind w:left="1920"/>
      <w:jc w:val="left"/>
    </w:pPr>
    <w:rPr>
      <w:szCs w:val="24"/>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DD3E19"/>
    <w:pPr>
      <w:spacing w:before="0"/>
    </w:pPr>
    <w:rPr>
      <w:rFonts w:ascii="Tahoma" w:hAnsi="Tahoma" w:cs="Tahoma"/>
      <w:sz w:val="16"/>
      <w:szCs w:val="16"/>
    </w:rPr>
  </w:style>
  <w:style w:type="character" w:customStyle="1" w:styleId="BalloonTextChar">
    <w:name w:val="Balloon Text Char"/>
    <w:basedOn w:val="DefaultParagraphFont"/>
    <w:link w:val="BalloonText"/>
    <w:rsid w:val="00DD3E19"/>
    <w:rPr>
      <w:rFonts w:ascii="Tahoma" w:hAnsi="Tahoma" w:cs="Tahoma"/>
      <w:sz w:val="16"/>
      <w:szCs w:val="16"/>
    </w:rPr>
  </w:style>
  <w:style w:type="table" w:styleId="TableGrid">
    <w:name w:val="Table Grid"/>
    <w:basedOn w:val="TableNormal"/>
    <w:rsid w:val="000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8A5"/>
    <w:pPr>
      <w:ind w:left="720"/>
      <w:contextualSpacing/>
    </w:pPr>
  </w:style>
  <w:style w:type="character" w:styleId="PlaceholderText">
    <w:name w:val="Placeholder Text"/>
    <w:basedOn w:val="DefaultParagraphFont"/>
    <w:uiPriority w:val="99"/>
    <w:semiHidden/>
    <w:rsid w:val="00AE34FE"/>
    <w:rPr>
      <w:color w:val="808080"/>
    </w:rPr>
  </w:style>
  <w:style w:type="paragraph" w:styleId="TOCHeading">
    <w:name w:val="TOC Heading"/>
    <w:basedOn w:val="Heading1"/>
    <w:next w:val="Normal"/>
    <w:uiPriority w:val="39"/>
    <w:semiHidden/>
    <w:unhideWhenUsed/>
    <w:qFormat/>
    <w:rsid w:val="00DD0F26"/>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Cs w:val="28"/>
      <w:lang w:eastAsia="ja-JP"/>
    </w:rPr>
  </w:style>
  <w:style w:type="character" w:customStyle="1" w:styleId="Heading3Char">
    <w:name w:val="Heading 3 Char"/>
    <w:basedOn w:val="DefaultParagraphFont"/>
    <w:link w:val="Heading3"/>
    <w:rsid w:val="009113C8"/>
    <w:rPr>
      <w:rFonts w:ascii="Arial" w:hAnsi="Arial"/>
      <w:b/>
      <w:sz w:val="24"/>
    </w:rPr>
  </w:style>
  <w:style w:type="character" w:styleId="UnresolvedMention">
    <w:name w:val="Unresolved Mention"/>
    <w:basedOn w:val="DefaultParagraphFont"/>
    <w:uiPriority w:val="99"/>
    <w:semiHidden/>
    <w:unhideWhenUsed/>
    <w:rsid w:val="00911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0434">
      <w:bodyDiv w:val="1"/>
      <w:marLeft w:val="0"/>
      <w:marRight w:val="0"/>
      <w:marTop w:val="0"/>
      <w:marBottom w:val="0"/>
      <w:divBdr>
        <w:top w:val="none" w:sz="0" w:space="0" w:color="auto"/>
        <w:left w:val="none" w:sz="0" w:space="0" w:color="auto"/>
        <w:bottom w:val="none" w:sz="0" w:space="0" w:color="auto"/>
        <w:right w:val="none" w:sz="0" w:space="0" w:color="auto"/>
      </w:divBdr>
      <w:divsChild>
        <w:div w:id="706300374">
          <w:marLeft w:val="0"/>
          <w:marRight w:val="0"/>
          <w:marTop w:val="0"/>
          <w:marBottom w:val="0"/>
          <w:divBdr>
            <w:top w:val="none" w:sz="0" w:space="0" w:color="auto"/>
            <w:left w:val="none" w:sz="0" w:space="0" w:color="auto"/>
            <w:bottom w:val="none" w:sz="0" w:space="0" w:color="auto"/>
            <w:right w:val="none" w:sz="0" w:space="0" w:color="auto"/>
          </w:divBdr>
        </w:div>
        <w:div w:id="750665192">
          <w:marLeft w:val="0"/>
          <w:marRight w:val="0"/>
          <w:marTop w:val="0"/>
          <w:marBottom w:val="0"/>
          <w:divBdr>
            <w:top w:val="none" w:sz="0" w:space="0" w:color="auto"/>
            <w:left w:val="none" w:sz="0" w:space="0" w:color="auto"/>
            <w:bottom w:val="none" w:sz="0" w:space="0" w:color="auto"/>
            <w:right w:val="none" w:sz="0" w:space="0" w:color="auto"/>
          </w:divBdr>
        </w:div>
        <w:div w:id="389311175">
          <w:marLeft w:val="0"/>
          <w:marRight w:val="0"/>
          <w:marTop w:val="0"/>
          <w:marBottom w:val="0"/>
          <w:divBdr>
            <w:top w:val="none" w:sz="0" w:space="0" w:color="auto"/>
            <w:left w:val="none" w:sz="0" w:space="0" w:color="auto"/>
            <w:bottom w:val="none" w:sz="0" w:space="0" w:color="auto"/>
            <w:right w:val="none" w:sz="0" w:space="0" w:color="auto"/>
          </w:divBdr>
        </w:div>
      </w:divsChild>
    </w:div>
    <w:div w:id="379944882">
      <w:bodyDiv w:val="1"/>
      <w:marLeft w:val="0"/>
      <w:marRight w:val="0"/>
      <w:marTop w:val="0"/>
      <w:marBottom w:val="0"/>
      <w:divBdr>
        <w:top w:val="none" w:sz="0" w:space="0" w:color="auto"/>
        <w:left w:val="none" w:sz="0" w:space="0" w:color="auto"/>
        <w:bottom w:val="none" w:sz="0" w:space="0" w:color="auto"/>
        <w:right w:val="none" w:sz="0" w:space="0" w:color="auto"/>
      </w:divBdr>
      <w:divsChild>
        <w:div w:id="234434686">
          <w:marLeft w:val="0"/>
          <w:marRight w:val="0"/>
          <w:marTop w:val="0"/>
          <w:marBottom w:val="0"/>
          <w:divBdr>
            <w:top w:val="none" w:sz="0" w:space="0" w:color="auto"/>
            <w:left w:val="none" w:sz="0" w:space="0" w:color="auto"/>
            <w:bottom w:val="none" w:sz="0" w:space="0" w:color="auto"/>
            <w:right w:val="none" w:sz="0" w:space="0" w:color="auto"/>
          </w:divBdr>
        </w:div>
        <w:div w:id="20010355">
          <w:marLeft w:val="0"/>
          <w:marRight w:val="0"/>
          <w:marTop w:val="0"/>
          <w:marBottom w:val="0"/>
          <w:divBdr>
            <w:top w:val="none" w:sz="0" w:space="0" w:color="auto"/>
            <w:left w:val="none" w:sz="0" w:space="0" w:color="auto"/>
            <w:bottom w:val="none" w:sz="0" w:space="0" w:color="auto"/>
            <w:right w:val="none" w:sz="0" w:space="0" w:color="auto"/>
          </w:divBdr>
        </w:div>
        <w:div w:id="1223560903">
          <w:marLeft w:val="0"/>
          <w:marRight w:val="0"/>
          <w:marTop w:val="0"/>
          <w:marBottom w:val="0"/>
          <w:divBdr>
            <w:top w:val="none" w:sz="0" w:space="0" w:color="auto"/>
            <w:left w:val="none" w:sz="0" w:space="0" w:color="auto"/>
            <w:bottom w:val="none" w:sz="0" w:space="0" w:color="auto"/>
            <w:right w:val="none" w:sz="0" w:space="0" w:color="auto"/>
          </w:divBdr>
        </w:div>
        <w:div w:id="1723169698">
          <w:marLeft w:val="0"/>
          <w:marRight w:val="0"/>
          <w:marTop w:val="0"/>
          <w:marBottom w:val="0"/>
          <w:divBdr>
            <w:top w:val="none" w:sz="0" w:space="0" w:color="auto"/>
            <w:left w:val="none" w:sz="0" w:space="0" w:color="auto"/>
            <w:bottom w:val="none" w:sz="0" w:space="0" w:color="auto"/>
            <w:right w:val="none" w:sz="0" w:space="0" w:color="auto"/>
          </w:divBdr>
        </w:div>
        <w:div w:id="426922503">
          <w:marLeft w:val="0"/>
          <w:marRight w:val="0"/>
          <w:marTop w:val="0"/>
          <w:marBottom w:val="0"/>
          <w:divBdr>
            <w:top w:val="none" w:sz="0" w:space="0" w:color="auto"/>
            <w:left w:val="none" w:sz="0" w:space="0" w:color="auto"/>
            <w:bottom w:val="none" w:sz="0" w:space="0" w:color="auto"/>
            <w:right w:val="none" w:sz="0" w:space="0" w:color="auto"/>
          </w:divBdr>
        </w:div>
        <w:div w:id="1693989606">
          <w:marLeft w:val="0"/>
          <w:marRight w:val="0"/>
          <w:marTop w:val="0"/>
          <w:marBottom w:val="0"/>
          <w:divBdr>
            <w:top w:val="none" w:sz="0" w:space="0" w:color="auto"/>
            <w:left w:val="none" w:sz="0" w:space="0" w:color="auto"/>
            <w:bottom w:val="none" w:sz="0" w:space="0" w:color="auto"/>
            <w:right w:val="none" w:sz="0" w:space="0" w:color="auto"/>
          </w:divBdr>
        </w:div>
      </w:divsChild>
    </w:div>
    <w:div w:id="733894572">
      <w:bodyDiv w:val="1"/>
      <w:marLeft w:val="0"/>
      <w:marRight w:val="0"/>
      <w:marTop w:val="0"/>
      <w:marBottom w:val="0"/>
      <w:divBdr>
        <w:top w:val="none" w:sz="0" w:space="0" w:color="auto"/>
        <w:left w:val="none" w:sz="0" w:space="0" w:color="auto"/>
        <w:bottom w:val="none" w:sz="0" w:space="0" w:color="auto"/>
        <w:right w:val="none" w:sz="0" w:space="0" w:color="auto"/>
      </w:divBdr>
    </w:div>
    <w:div w:id="896283902">
      <w:bodyDiv w:val="1"/>
      <w:marLeft w:val="0"/>
      <w:marRight w:val="0"/>
      <w:marTop w:val="0"/>
      <w:marBottom w:val="0"/>
      <w:divBdr>
        <w:top w:val="none" w:sz="0" w:space="0" w:color="auto"/>
        <w:left w:val="none" w:sz="0" w:space="0" w:color="auto"/>
        <w:bottom w:val="none" w:sz="0" w:space="0" w:color="auto"/>
        <w:right w:val="none" w:sz="0" w:space="0" w:color="auto"/>
      </w:divBdr>
    </w:div>
    <w:div w:id="946086506">
      <w:bodyDiv w:val="1"/>
      <w:marLeft w:val="0"/>
      <w:marRight w:val="0"/>
      <w:marTop w:val="0"/>
      <w:marBottom w:val="0"/>
      <w:divBdr>
        <w:top w:val="none" w:sz="0" w:space="0" w:color="auto"/>
        <w:left w:val="none" w:sz="0" w:space="0" w:color="auto"/>
        <w:bottom w:val="none" w:sz="0" w:space="0" w:color="auto"/>
        <w:right w:val="none" w:sz="0" w:space="0" w:color="auto"/>
      </w:divBdr>
      <w:divsChild>
        <w:div w:id="1002199714">
          <w:marLeft w:val="0"/>
          <w:marRight w:val="0"/>
          <w:marTop w:val="0"/>
          <w:marBottom w:val="0"/>
          <w:divBdr>
            <w:top w:val="none" w:sz="0" w:space="0" w:color="auto"/>
            <w:left w:val="none" w:sz="0" w:space="0" w:color="auto"/>
            <w:bottom w:val="none" w:sz="0" w:space="0" w:color="auto"/>
            <w:right w:val="none" w:sz="0" w:space="0" w:color="auto"/>
          </w:divBdr>
        </w:div>
        <w:div w:id="1602637908">
          <w:marLeft w:val="0"/>
          <w:marRight w:val="0"/>
          <w:marTop w:val="0"/>
          <w:marBottom w:val="0"/>
          <w:divBdr>
            <w:top w:val="none" w:sz="0" w:space="0" w:color="auto"/>
            <w:left w:val="none" w:sz="0" w:space="0" w:color="auto"/>
            <w:bottom w:val="none" w:sz="0" w:space="0" w:color="auto"/>
            <w:right w:val="none" w:sz="0" w:space="0" w:color="auto"/>
          </w:divBdr>
        </w:div>
        <w:div w:id="1455372399">
          <w:marLeft w:val="0"/>
          <w:marRight w:val="0"/>
          <w:marTop w:val="0"/>
          <w:marBottom w:val="0"/>
          <w:divBdr>
            <w:top w:val="none" w:sz="0" w:space="0" w:color="auto"/>
            <w:left w:val="none" w:sz="0" w:space="0" w:color="auto"/>
            <w:bottom w:val="none" w:sz="0" w:space="0" w:color="auto"/>
            <w:right w:val="none" w:sz="0" w:space="0" w:color="auto"/>
          </w:divBdr>
        </w:div>
        <w:div w:id="607660539">
          <w:marLeft w:val="0"/>
          <w:marRight w:val="0"/>
          <w:marTop w:val="0"/>
          <w:marBottom w:val="0"/>
          <w:divBdr>
            <w:top w:val="none" w:sz="0" w:space="0" w:color="auto"/>
            <w:left w:val="none" w:sz="0" w:space="0" w:color="auto"/>
            <w:bottom w:val="none" w:sz="0" w:space="0" w:color="auto"/>
            <w:right w:val="none" w:sz="0" w:space="0" w:color="auto"/>
          </w:divBdr>
        </w:div>
        <w:div w:id="210196935">
          <w:marLeft w:val="0"/>
          <w:marRight w:val="0"/>
          <w:marTop w:val="0"/>
          <w:marBottom w:val="0"/>
          <w:divBdr>
            <w:top w:val="none" w:sz="0" w:space="0" w:color="auto"/>
            <w:left w:val="none" w:sz="0" w:space="0" w:color="auto"/>
            <w:bottom w:val="none" w:sz="0" w:space="0" w:color="auto"/>
            <w:right w:val="none" w:sz="0" w:space="0" w:color="auto"/>
          </w:divBdr>
        </w:div>
        <w:div w:id="1376537126">
          <w:marLeft w:val="0"/>
          <w:marRight w:val="0"/>
          <w:marTop w:val="0"/>
          <w:marBottom w:val="0"/>
          <w:divBdr>
            <w:top w:val="none" w:sz="0" w:space="0" w:color="auto"/>
            <w:left w:val="none" w:sz="0" w:space="0" w:color="auto"/>
            <w:bottom w:val="none" w:sz="0" w:space="0" w:color="auto"/>
            <w:right w:val="none" w:sz="0" w:space="0" w:color="auto"/>
          </w:divBdr>
        </w:div>
      </w:divsChild>
    </w:div>
    <w:div w:id="1244293049">
      <w:bodyDiv w:val="1"/>
      <w:marLeft w:val="0"/>
      <w:marRight w:val="0"/>
      <w:marTop w:val="0"/>
      <w:marBottom w:val="0"/>
      <w:divBdr>
        <w:top w:val="none" w:sz="0" w:space="0" w:color="auto"/>
        <w:left w:val="none" w:sz="0" w:space="0" w:color="auto"/>
        <w:bottom w:val="none" w:sz="0" w:space="0" w:color="auto"/>
        <w:right w:val="none" w:sz="0" w:space="0" w:color="auto"/>
      </w:divBdr>
      <w:divsChild>
        <w:div w:id="226768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334874">
      <w:bodyDiv w:val="1"/>
      <w:marLeft w:val="0"/>
      <w:marRight w:val="0"/>
      <w:marTop w:val="0"/>
      <w:marBottom w:val="0"/>
      <w:divBdr>
        <w:top w:val="none" w:sz="0" w:space="0" w:color="auto"/>
        <w:left w:val="none" w:sz="0" w:space="0" w:color="auto"/>
        <w:bottom w:val="none" w:sz="0" w:space="0" w:color="auto"/>
        <w:right w:val="none" w:sz="0" w:space="0" w:color="auto"/>
      </w:divBdr>
      <w:divsChild>
        <w:div w:id="1268271623">
          <w:marLeft w:val="0"/>
          <w:marRight w:val="0"/>
          <w:marTop w:val="0"/>
          <w:marBottom w:val="0"/>
          <w:divBdr>
            <w:top w:val="none" w:sz="0" w:space="0" w:color="auto"/>
            <w:left w:val="none" w:sz="0" w:space="0" w:color="auto"/>
            <w:bottom w:val="none" w:sz="0" w:space="0" w:color="auto"/>
            <w:right w:val="none" w:sz="0" w:space="0" w:color="auto"/>
          </w:divBdr>
        </w:div>
        <w:div w:id="376007990">
          <w:marLeft w:val="0"/>
          <w:marRight w:val="0"/>
          <w:marTop w:val="0"/>
          <w:marBottom w:val="0"/>
          <w:divBdr>
            <w:top w:val="none" w:sz="0" w:space="0" w:color="auto"/>
            <w:left w:val="none" w:sz="0" w:space="0" w:color="auto"/>
            <w:bottom w:val="none" w:sz="0" w:space="0" w:color="auto"/>
            <w:right w:val="none" w:sz="0" w:space="0" w:color="auto"/>
          </w:divBdr>
        </w:div>
        <w:div w:id="1457214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yperlink" Target="https://dcc.ligo.org/cgi-bin/private/DocDB/ShowDocument?docid=59797" TargetMode="External"/><Relationship Id="rId21" Type="http://schemas.openxmlformats.org/officeDocument/2006/relationships/oleObject" Target="embeddings/oleObject7.bin"/><Relationship Id="rId34"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yperlink" Target="https://dcc.ligo.org/cgi-bin/private/DocDB/ShowDocument?docid=59797"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https://dcc.ligo.org/LIGO-E12002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dcc.ligo.org/cgi-bin/private/DocDB/ShowDocument?docid=66614"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s://dcc.ligo.org/LIGO-T080145" TargetMode="Externa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yperlink" Target="https://dcc.ligo.org/cgi-bin/private/DocDB/ShowDocument?docid=72520" TargetMode="External"/><Relationship Id="rId30" Type="http://schemas.openxmlformats.org/officeDocument/2006/relationships/header" Target="header1.xml"/><Relationship Id="rId35" Type="http://schemas.openxmlformats.org/officeDocument/2006/relationships/image" Target="media/image11.png"/><Relationship Id="rId8" Type="http://schemas.openxmlformats.org/officeDocument/2006/relationships/image" Target="media/image1.w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dcc.ligo.org/cgi-bin/private/DocDB/ShowDocument?docid=66614" TargetMode="External"/><Relationship Id="rId3" Type="http://schemas.openxmlformats.org/officeDocument/2006/relationships/hyperlink" Target="https://dcc.ligo.org/cgi-bin/private/DocDB/ShowDocument?docid=2438" TargetMode="External"/><Relationship Id="rId7" Type="http://schemas.openxmlformats.org/officeDocument/2006/relationships/hyperlink" Target="https://www.spiedigitallibrary.org/journals/optical-engineering/volume-62/issue-7/077102/Crack-propagation-in-calcium-fluoride-single-crystals/10.1117/1.OE.62.7.077102.full" TargetMode="External"/><Relationship Id="rId2" Type="http://schemas.openxmlformats.org/officeDocument/2006/relationships/hyperlink" Target="https://standards.msfc.nasa.gov/released/5001/5001.pdf" TargetMode="External"/><Relationship Id="rId1" Type="http://schemas.openxmlformats.org/officeDocument/2006/relationships/hyperlink" Target="https://dcc.ligo.org/cgi-bin/private/DocDB/ShowDocument?docid=2438" TargetMode="External"/><Relationship Id="rId6" Type="http://schemas.openxmlformats.org/officeDocument/2006/relationships/hyperlink" Target="https://www.spiedigitallibrary.org/conference-proceedings-of-spie/PC13134/PC1313409/Crack-propagation-in-calcium-fluoride-single-crystals/10.1117/12.3031867.full" TargetMode="External"/><Relationship Id="rId11" Type="http://schemas.openxmlformats.org/officeDocument/2006/relationships/hyperlink" Target="https://dcc.ligo.org/LIGO-G080409" TargetMode="External"/><Relationship Id="rId5" Type="http://schemas.openxmlformats.org/officeDocument/2006/relationships/hyperlink" Target="http://www.matweb.com/search/datasheet.aspx?matguid=8739124bf91948dfa87b2d7ac794a5ed&amp;ckck=1" TargetMode="External"/><Relationship Id="rId10" Type="http://schemas.openxmlformats.org/officeDocument/2006/relationships/hyperlink" Target="https://inis.iaea.org/search/search.aspx?orig_q=RN:27031742" TargetMode="External"/><Relationship Id="rId4" Type="http://schemas.openxmlformats.org/officeDocument/2006/relationships/hyperlink" Target="https://dcc.ligo.org/cgi-bin/private/DocDB/ShowDocument?docid=66614" TargetMode="External"/><Relationship Id="rId9" Type="http://schemas.openxmlformats.org/officeDocument/2006/relationships/hyperlink" Target="https://dcc.ligo.org/cgi-bin/private/DocDB/ShowDocument?docid=59797"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E04BD-42B8-4CD0-8178-BC3203BA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Laser Interferometer Gravitational Wave Observatory</vt:lpstr>
    </vt:vector>
  </TitlesOfParts>
  <Company>Caltech</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Interferometer Gravitational Wave Observatory</dc:title>
  <dc:creator>Dennis Coyne</dc:creator>
  <cp:lastModifiedBy>Dennis Coyne</cp:lastModifiedBy>
  <cp:revision>3</cp:revision>
  <cp:lastPrinted>2016-03-09T23:58:00Z</cp:lastPrinted>
  <dcterms:created xsi:type="dcterms:W3CDTF">2025-07-16T20:50:00Z</dcterms:created>
  <dcterms:modified xsi:type="dcterms:W3CDTF">2025-07-16T21:17:00Z</dcterms:modified>
</cp:coreProperties>
</file>