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31AA73" w14:textId="77777777" w:rsidR="00DB76B8" w:rsidRDefault="00DB76B8">
      <w:pPr>
        <w:jc w:val="left"/>
      </w:pPr>
    </w:p>
    <w:tbl>
      <w:tblPr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4"/>
        <w:gridCol w:w="8470"/>
      </w:tblGrid>
      <w:tr w:rsidR="004C04E3" w14:paraId="781A2F2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EC98" w14:textId="77777777" w:rsidR="004C04E3" w:rsidRDefault="009E473E" w:rsidP="00587865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before="0" w:line="276" w:lineRule="auto"/>
            </w:pPr>
            <w:r>
              <w:t>Document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575EF" w14:textId="0BC8B177" w:rsidR="004C04E3" w:rsidRPr="0036152E" w:rsidRDefault="0036152E" w:rsidP="00587865">
            <w:pPr>
              <w:snapToGrid w:val="0"/>
              <w:spacing w:before="0" w:line="276" w:lineRule="auto"/>
              <w:rPr>
                <w:b/>
              </w:rPr>
            </w:pPr>
            <w:r w:rsidRPr="0036152E">
              <w:rPr>
                <w:b/>
              </w:rPr>
              <w:t>LIGO-M1200276</w:t>
            </w:r>
            <w:r w:rsidR="009E473E" w:rsidRPr="0036152E">
              <w:rPr>
                <w:b/>
              </w:rPr>
              <w:t>-v1</w:t>
            </w:r>
          </w:p>
        </w:tc>
      </w:tr>
      <w:tr w:rsidR="004C04E3" w14:paraId="30F07F53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1045B" w14:textId="77777777" w:rsidR="004C04E3" w:rsidRDefault="009E473E" w:rsidP="00587865">
            <w:pPr>
              <w:snapToGrid w:val="0"/>
              <w:spacing w:before="0" w:line="276" w:lineRule="auto"/>
            </w:pPr>
            <w:r>
              <w:t>Date: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0C84A" w14:textId="3FC314E6" w:rsidR="004C04E3" w:rsidRDefault="00587865" w:rsidP="00587865">
            <w:pPr>
              <w:snapToGrid w:val="0"/>
              <w:spacing w:before="0" w:line="276" w:lineRule="auto"/>
            </w:pPr>
            <w:r>
              <w:t>August 3, 2012</w:t>
            </w:r>
          </w:p>
        </w:tc>
      </w:tr>
      <w:tr w:rsidR="004C04E3" w14:paraId="709D8A7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14EB9" w14:textId="77777777" w:rsidR="004C04E3" w:rsidRDefault="009E473E" w:rsidP="00587865">
            <w:pPr>
              <w:snapToGrid w:val="0"/>
              <w:spacing w:before="0" w:line="276" w:lineRule="auto"/>
            </w:pPr>
            <w:r>
              <w:t>Title: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D231" w14:textId="662FD8C8" w:rsidR="004C04E3" w:rsidRDefault="009E473E" w:rsidP="00587865">
            <w:pPr>
              <w:snapToGrid w:val="0"/>
              <w:spacing w:before="0" w:line="276" w:lineRule="auto"/>
            </w:pPr>
            <w:r>
              <w:t xml:space="preserve">RODA: </w:t>
            </w:r>
            <w:r w:rsidR="00587865">
              <w:t>Increase of</w:t>
            </w:r>
            <w:r w:rsidR="0036152E">
              <w:t xml:space="preserve"> </w:t>
            </w:r>
            <w:proofErr w:type="spellStart"/>
            <w:r w:rsidR="0036152E">
              <w:t>Schnupp</w:t>
            </w:r>
            <w:proofErr w:type="spellEnd"/>
            <w:r w:rsidR="0036152E">
              <w:t xml:space="preserve"> Asymmetry from 5 cm to 8 </w:t>
            </w:r>
            <w:r w:rsidR="00587865">
              <w:t>cm</w:t>
            </w:r>
          </w:p>
        </w:tc>
      </w:tr>
      <w:tr w:rsidR="004C04E3" w14:paraId="255417B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3AB7" w14:textId="77777777" w:rsidR="004C04E3" w:rsidRDefault="009E473E" w:rsidP="00587865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before="0" w:line="276" w:lineRule="auto"/>
              <w:jc w:val="left"/>
            </w:pPr>
            <w:r>
              <w:t>To the Attention of: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7AF0" w14:textId="43A8274E" w:rsidR="004C04E3" w:rsidRDefault="0036152E" w:rsidP="0036152E">
            <w:pPr>
              <w:snapToGrid w:val="0"/>
              <w:spacing w:before="0" w:line="276" w:lineRule="auto"/>
            </w:pPr>
            <w:proofErr w:type="spellStart"/>
            <w:r>
              <w:t>Calum</w:t>
            </w:r>
            <w:proofErr w:type="spellEnd"/>
            <w:r>
              <w:t xml:space="preserve"> </w:t>
            </w:r>
            <w:proofErr w:type="spellStart"/>
            <w:r>
              <w:t>Torrie</w:t>
            </w:r>
            <w:proofErr w:type="spellEnd"/>
            <w:r>
              <w:t>, Mike Smith</w:t>
            </w:r>
            <w:r w:rsidR="00F91BA0">
              <w:t>, Ed Chavez, Eddy Sanchez, aligo_sys</w:t>
            </w:r>
            <w:bookmarkStart w:id="0" w:name="_GoBack"/>
            <w:bookmarkEnd w:id="0"/>
          </w:p>
        </w:tc>
      </w:tr>
      <w:tr w:rsidR="004C04E3" w14:paraId="0CF1141F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88BF" w14:textId="77777777" w:rsidR="004C04E3" w:rsidRDefault="009E473E" w:rsidP="00587865">
            <w:pPr>
              <w:snapToGrid w:val="0"/>
              <w:spacing w:before="0" w:line="276" w:lineRule="auto"/>
            </w:pPr>
            <w:r>
              <w:t>cc: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C2E0" w14:textId="77777777" w:rsidR="004C04E3" w:rsidRDefault="004C04E3" w:rsidP="00587865">
            <w:pPr>
              <w:pStyle w:val="Footer"/>
              <w:tabs>
                <w:tab w:val="clear" w:pos="4320"/>
                <w:tab w:val="clear" w:pos="8640"/>
                <w:tab w:val="left" w:pos="5015"/>
              </w:tabs>
              <w:snapToGrid w:val="0"/>
              <w:spacing w:before="0" w:line="276" w:lineRule="auto"/>
            </w:pPr>
          </w:p>
        </w:tc>
      </w:tr>
      <w:tr w:rsidR="004C04E3" w14:paraId="32588DF0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DAFC6" w14:textId="77777777" w:rsidR="004C04E3" w:rsidRDefault="009E473E" w:rsidP="00587865">
            <w:pPr>
              <w:snapToGrid w:val="0"/>
              <w:spacing w:before="0" w:line="276" w:lineRule="auto"/>
            </w:pPr>
            <w:r>
              <w:t>From/</w:t>
            </w:r>
          </w:p>
          <w:p w14:paraId="176CEF7C" w14:textId="77777777" w:rsidR="004C04E3" w:rsidRDefault="009E473E" w:rsidP="00587865">
            <w:pPr>
              <w:spacing w:before="0" w:line="276" w:lineRule="auto"/>
            </w:pPr>
            <w:proofErr w:type="gramStart"/>
            <w:r>
              <w:t>signatories</w:t>
            </w:r>
            <w:proofErr w:type="gramEnd"/>
            <w:r>
              <w:t>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367F" w14:textId="77777777" w:rsidR="004C04E3" w:rsidRDefault="009E473E" w:rsidP="00587865">
            <w:pPr>
              <w:pStyle w:val="Footer"/>
              <w:tabs>
                <w:tab w:val="clear" w:pos="4320"/>
                <w:tab w:val="clear" w:pos="8640"/>
                <w:tab w:val="left" w:pos="5015"/>
              </w:tabs>
              <w:snapToGrid w:val="0"/>
              <w:spacing w:before="0" w:line="276" w:lineRule="auto"/>
            </w:pPr>
            <w:r>
              <w:t>Name/Title: Peter Fritschel, Systems Scientist / ISC lead</w:t>
            </w:r>
          </w:p>
          <w:p w14:paraId="403386CB" w14:textId="26D93E56" w:rsidR="004C04E3" w:rsidRDefault="009E473E" w:rsidP="00587865">
            <w:pPr>
              <w:tabs>
                <w:tab w:val="center" w:pos="4320"/>
                <w:tab w:val="left" w:pos="5015"/>
                <w:tab w:val="right" w:pos="8640"/>
              </w:tabs>
              <w:spacing w:before="0" w:line="276" w:lineRule="auto"/>
            </w:pPr>
            <w:r>
              <w:t xml:space="preserve">Name/Title: </w:t>
            </w:r>
            <w:r w:rsidR="00587865">
              <w:t>Dennis Coyne, Systems Engineer</w:t>
            </w:r>
          </w:p>
          <w:p w14:paraId="13C6FFBA" w14:textId="77777777" w:rsidR="004C04E3" w:rsidRDefault="004C04E3" w:rsidP="00587865">
            <w:pPr>
              <w:tabs>
                <w:tab w:val="center" w:pos="4320"/>
                <w:tab w:val="left" w:pos="5015"/>
                <w:tab w:val="right" w:pos="8640"/>
              </w:tabs>
              <w:spacing w:before="0" w:line="276" w:lineRule="auto"/>
              <w:rPr>
                <w:i/>
                <w:iCs/>
                <w:color w:val="999999"/>
                <w:sz w:val="20"/>
              </w:rPr>
            </w:pPr>
          </w:p>
          <w:p w14:paraId="544D3E36" w14:textId="77777777" w:rsidR="004C04E3" w:rsidRDefault="009E473E" w:rsidP="00587865">
            <w:pPr>
              <w:tabs>
                <w:tab w:val="center" w:pos="4320"/>
                <w:tab w:val="left" w:pos="5015"/>
                <w:tab w:val="right" w:pos="8640"/>
              </w:tabs>
              <w:spacing w:before="0" w:line="276" w:lineRule="auto"/>
              <w:rPr>
                <w:i/>
                <w:iCs/>
                <w:color w:val="999999"/>
                <w:sz w:val="20"/>
              </w:rPr>
            </w:pPr>
            <w:r>
              <w:rPr>
                <w:i/>
                <w:iCs/>
                <w:color w:val="999999"/>
                <w:sz w:val="20"/>
              </w:rPr>
              <w:t>See the LIGO Document Control Center (DCC) for electronic approvals</w:t>
            </w:r>
          </w:p>
        </w:tc>
      </w:tr>
      <w:tr w:rsidR="004C04E3" w14:paraId="383A4AEB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EE62" w14:textId="77777777" w:rsidR="004C04E3" w:rsidRDefault="009E473E">
            <w:pPr>
              <w:snapToGrid w:val="0"/>
              <w:spacing w:before="0"/>
            </w:pPr>
            <w:r>
              <w:t>System(s) affected: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CFEF" w14:textId="77777777" w:rsidR="004C04E3" w:rsidRDefault="00DB76B8">
            <w:pPr>
              <w:snapToGrid w:val="0"/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675EA110" wp14:editId="3455D408">
                  <wp:extent cx="1371600" cy="279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7F5B7" w14:textId="77777777" w:rsidR="004C04E3" w:rsidRDefault="00DB76B8">
            <w:pPr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5BB3FBFD" wp14:editId="22D704E2">
                  <wp:extent cx="652145" cy="27940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 w:bidi="ar-SA"/>
              </w:rPr>
              <w:drawing>
                <wp:inline distT="0" distB="0" distL="0" distR="0" wp14:anchorId="2DE32220" wp14:editId="7DA0FF29">
                  <wp:extent cx="4021455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145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4E3" w14:paraId="1698BF6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E041" w14:textId="77777777" w:rsidR="004C04E3" w:rsidRDefault="009E473E">
            <w:pPr>
              <w:pStyle w:val="Footer"/>
              <w:tabs>
                <w:tab w:val="clear" w:pos="4320"/>
                <w:tab w:val="clear" w:pos="8640"/>
              </w:tabs>
              <w:snapToGrid w:val="0"/>
              <w:spacing w:before="0"/>
            </w:pPr>
            <w:r>
              <w:t>Nature/</w:t>
            </w:r>
            <w:r>
              <w:br/>
              <w:t>Scope: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F101" w14:textId="77777777" w:rsidR="004C04E3" w:rsidRDefault="00DB76B8">
            <w:pPr>
              <w:snapToGrid w:val="0"/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2469CA6C" wp14:editId="098754E6">
                  <wp:extent cx="1371600" cy="27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 w:bidi="ar-SA"/>
              </w:rPr>
              <w:drawing>
                <wp:inline distT="0" distB="0" distL="0" distR="0" wp14:anchorId="27D0AFDB" wp14:editId="0BF73629">
                  <wp:extent cx="1718945" cy="24574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EDB9EF" w14:textId="77777777" w:rsidR="004C04E3" w:rsidRDefault="00DB76B8">
            <w:pPr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25E56EF4" wp14:editId="6DDE58FC">
                  <wp:extent cx="2971800" cy="279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2E85A" w14:textId="77777777" w:rsidR="004C04E3" w:rsidRDefault="00DB76B8">
            <w:pPr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0608AD4B" wp14:editId="15ECBF89">
                  <wp:extent cx="829945" cy="245745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 w:bidi="ar-SA"/>
              </w:rPr>
              <w:drawing>
                <wp:inline distT="0" distB="0" distL="0" distR="0" wp14:anchorId="367CA178" wp14:editId="664B42FF">
                  <wp:extent cx="2743200" cy="2368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4E3" w14:paraId="12B17DA7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A6D0" w14:textId="77777777" w:rsidR="004C04E3" w:rsidRDefault="009E473E">
            <w:pPr>
              <w:snapToGrid w:val="0"/>
              <w:spacing w:before="0"/>
            </w:pPr>
            <w:r>
              <w:t>Subsystem(s)</w:t>
            </w:r>
          </w:p>
          <w:p w14:paraId="50B0812F" w14:textId="77777777" w:rsidR="004C04E3" w:rsidRDefault="009E473E">
            <w:pPr>
              <w:spacing w:before="0"/>
            </w:pPr>
            <w:proofErr w:type="gramStart"/>
            <w:r>
              <w:t>affected</w:t>
            </w:r>
            <w:proofErr w:type="gramEnd"/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8B939" w14:textId="77777777" w:rsidR="004C04E3" w:rsidRDefault="00DB76B8">
            <w:pPr>
              <w:snapToGrid w:val="0"/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705618A2" wp14:editId="31FC038D">
                  <wp:extent cx="2548255" cy="245745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25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68EAE" w14:textId="157D8217" w:rsidR="004C04E3" w:rsidRDefault="00587865">
            <w:pPr>
              <w:spacing w:before="0"/>
            </w:pPr>
            <w:r>
              <w:t>SYS</w:t>
            </w:r>
            <w:r w:rsidR="009E473E">
              <w:t>, ISC, INS</w:t>
            </w:r>
          </w:p>
          <w:p w14:paraId="785C9448" w14:textId="0AF47111" w:rsidR="004C04E3" w:rsidRDefault="004C04E3">
            <w:pPr>
              <w:spacing w:before="0"/>
            </w:pPr>
          </w:p>
        </w:tc>
      </w:tr>
      <w:tr w:rsidR="004C04E3" w14:paraId="3137062E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E2DEF" w14:textId="77777777" w:rsidR="004C04E3" w:rsidRDefault="009E473E">
            <w:pPr>
              <w:snapToGrid w:val="0"/>
              <w:spacing w:before="0"/>
              <w:jc w:val="left"/>
            </w:pPr>
            <w:r>
              <w:t>Primary Contacts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5017E" w14:textId="77777777" w:rsidR="004C04E3" w:rsidRDefault="009E473E">
            <w:pPr>
              <w:snapToGrid w:val="0"/>
              <w:spacing w:before="0"/>
              <w:jc w:val="left"/>
            </w:pPr>
            <w:r>
              <w:t xml:space="preserve">Group or Affiliation and </w:t>
            </w:r>
            <w:proofErr w:type="gramStart"/>
            <w:r>
              <w:t xml:space="preserve">Contact  </w:t>
            </w:r>
            <w:proofErr w:type="gramEnd"/>
            <w:r w:rsidR="00DB76B8">
              <w:rPr>
                <w:noProof/>
                <w:lang w:eastAsia="en-US" w:bidi="ar-SA"/>
              </w:rPr>
              <w:drawing>
                <wp:inline distT="0" distB="0" distL="0" distR="0" wp14:anchorId="2C210613" wp14:editId="09F2D62E">
                  <wp:extent cx="3048000" cy="2368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4E3" w14:paraId="518D4CC9" w14:textId="77777777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F086" w14:textId="77777777" w:rsidR="004C04E3" w:rsidRDefault="009E473E">
            <w:pPr>
              <w:snapToGrid w:val="0"/>
              <w:spacing w:before="0"/>
            </w:pPr>
            <w:r>
              <w:t>Reference Documents: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080B" w14:textId="77777777" w:rsidR="004C04E3" w:rsidRDefault="00DB76B8">
            <w:pPr>
              <w:snapToGrid w:val="0"/>
              <w:spacing w:before="0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440F5CEE" wp14:editId="1C6CF579">
                  <wp:extent cx="4639945" cy="490855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45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C79D1A" w14:textId="77777777" w:rsidR="004C04E3" w:rsidRDefault="009E473E">
      <w:r>
        <w:t>DECISION/AGREEMENT STATEMENT:</w:t>
      </w:r>
    </w:p>
    <w:p w14:paraId="16A22EF8" w14:textId="6E361519" w:rsidR="00587865" w:rsidRDefault="00587865">
      <w:r>
        <w:t xml:space="preserve">The </w:t>
      </w:r>
      <w:proofErr w:type="spellStart"/>
      <w:r>
        <w:t>Schnupp</w:t>
      </w:r>
      <w:proofErr w:type="spellEnd"/>
      <w:r>
        <w:t xml:space="preserve"> Asymmetry i</w:t>
      </w:r>
      <w:r w:rsidR="009E5FD9">
        <w:t>s being increased from 5.0 cm to 8.0</w:t>
      </w:r>
      <w:r>
        <w:t xml:space="preserve"> cm, to improve the global length sensing with the signal recycling mirror transmission of 35%. A side effect of how this</w:t>
      </w:r>
      <w:r w:rsidR="00164386">
        <w:t xml:space="preserve"> is implemented is that the arm lengths are each shortened by 15 mm.</w:t>
      </w:r>
    </w:p>
    <w:p w14:paraId="68E2BF5E" w14:textId="77777777" w:rsidR="004C04E3" w:rsidRDefault="004C04E3"/>
    <w:p w14:paraId="5DD45994" w14:textId="77777777" w:rsidR="004C04E3" w:rsidRDefault="009E473E">
      <w:pPr>
        <w:rPr>
          <w:b/>
        </w:rPr>
      </w:pPr>
      <w:r>
        <w:rPr>
          <w:b/>
        </w:rPr>
        <w:t>Background:</w:t>
      </w:r>
    </w:p>
    <w:p w14:paraId="06C5E4E7" w14:textId="1F8986E7" w:rsidR="004C04E3" w:rsidRDefault="00164386">
      <w:r>
        <w:t xml:space="preserve">Based on studies of interferometer sensitivity versus input power, the initial transmission of the </w:t>
      </w:r>
      <w:proofErr w:type="gramStart"/>
      <w:r>
        <w:t>signal recycling</w:t>
      </w:r>
      <w:proofErr w:type="gramEnd"/>
      <w:r>
        <w:t xml:space="preserve"> mirror (SRM) was increased from 20% to 35% in spring 2012; see LIGO-M1200134. </w:t>
      </w:r>
      <w:r w:rsidR="00022A42">
        <w:t>Also studied was</w:t>
      </w:r>
      <w:r w:rsidR="0036152E">
        <w:t xml:space="preserve"> the</w:t>
      </w:r>
      <w:r w:rsidR="00022A42">
        <w:t xml:space="preserve"> effect of this change on the global sensing signals for the vertex lengths. </w:t>
      </w:r>
      <w:r w:rsidR="009E473E">
        <w:t xml:space="preserve">This is detailed in </w:t>
      </w:r>
      <w:hyperlink r:id="rId19" w:history="1">
        <w:r w:rsidR="009E473E">
          <w:rPr>
            <w:rStyle w:val="Hyperlink"/>
          </w:rPr>
          <w:t>LIGO-T1200128</w:t>
        </w:r>
      </w:hyperlink>
      <w:r w:rsidR="009E473E">
        <w:t xml:space="preserve">. </w:t>
      </w:r>
      <w:r w:rsidR="00022A42">
        <w:t xml:space="preserve">The conclusion was that with the higher transmission SRM, the </w:t>
      </w:r>
      <w:proofErr w:type="spellStart"/>
      <w:r w:rsidR="00022A42">
        <w:t>Schnupp</w:t>
      </w:r>
      <w:proofErr w:type="spellEnd"/>
      <w:r w:rsidR="00022A42">
        <w:t xml:space="preserve"> asymmetry should also be made larger.</w:t>
      </w:r>
    </w:p>
    <w:p w14:paraId="0579E2B9" w14:textId="77777777" w:rsidR="004C04E3" w:rsidRDefault="004C04E3"/>
    <w:p w14:paraId="15B6BD31" w14:textId="77777777" w:rsidR="009E5FD9" w:rsidRDefault="009E5FD9">
      <w:pPr>
        <w:rPr>
          <w:b/>
        </w:rPr>
      </w:pPr>
    </w:p>
    <w:p w14:paraId="2FFB9512" w14:textId="77777777" w:rsidR="004C04E3" w:rsidRDefault="009E473E">
      <w:pPr>
        <w:rPr>
          <w:b/>
        </w:rPr>
      </w:pPr>
      <w:r>
        <w:rPr>
          <w:b/>
        </w:rPr>
        <w:t>Decision:</w:t>
      </w:r>
    </w:p>
    <w:p w14:paraId="5120EA48" w14:textId="6FEE6D6D" w:rsidR="004C04E3" w:rsidRDefault="00022A42">
      <w:r>
        <w:t xml:space="preserve">The </w:t>
      </w:r>
      <w:proofErr w:type="spellStart"/>
      <w:r>
        <w:t>Schnupp</w:t>
      </w:r>
      <w:proofErr w:type="spellEnd"/>
      <w:r>
        <w:t xml:space="preserve"> asymmetry is increased from 5</w:t>
      </w:r>
      <w:r w:rsidR="009E5FD9">
        <w:t>.0 cm to 8.0</w:t>
      </w:r>
      <w:r>
        <w:t xml:space="preserve"> cm, which is accomplished by:</w:t>
      </w:r>
    </w:p>
    <w:p w14:paraId="141DD7E8" w14:textId="77777777" w:rsidR="00022A42" w:rsidRDefault="00022A42"/>
    <w:p w14:paraId="43AB091B" w14:textId="0CE09F73" w:rsidR="00022A42" w:rsidRDefault="00022A42" w:rsidP="00022A42">
      <w:pPr>
        <w:pStyle w:val="ListParagraph"/>
        <w:numPr>
          <w:ilvl w:val="0"/>
          <w:numId w:val="3"/>
        </w:numPr>
      </w:pPr>
      <w:r>
        <w:t xml:space="preserve">Moving ITMX 15 mm in the direction away from global zero (further from the </w:t>
      </w:r>
      <w:proofErr w:type="spellStart"/>
      <w:r>
        <w:t>beamsplitter</w:t>
      </w:r>
      <w:proofErr w:type="spellEnd"/>
      <w:r>
        <w:t>)</w:t>
      </w:r>
    </w:p>
    <w:p w14:paraId="6E8863D3" w14:textId="2051BAB9" w:rsidR="00022A42" w:rsidRDefault="00022A42" w:rsidP="00022A42">
      <w:pPr>
        <w:pStyle w:val="ListParagraph"/>
        <w:numPr>
          <w:ilvl w:val="0"/>
          <w:numId w:val="3"/>
        </w:numPr>
      </w:pPr>
      <w:r>
        <w:t xml:space="preserve">Moving ITMY 15 mm in the direction toward from global zero (closer to the </w:t>
      </w:r>
      <w:proofErr w:type="spellStart"/>
      <w:r>
        <w:t>beamsplitter</w:t>
      </w:r>
      <w:proofErr w:type="spellEnd"/>
      <w:r>
        <w:t>)</w:t>
      </w:r>
    </w:p>
    <w:p w14:paraId="7C6B2AC4" w14:textId="77273C8D" w:rsidR="00022A42" w:rsidRDefault="00022A42" w:rsidP="00022A42">
      <w:pPr>
        <w:pStyle w:val="ListParagraph"/>
        <w:numPr>
          <w:ilvl w:val="0"/>
          <w:numId w:val="3"/>
        </w:numPr>
      </w:pPr>
      <w:r>
        <w:t>Leaving ETMX as is</w:t>
      </w:r>
    </w:p>
    <w:p w14:paraId="7A750AAB" w14:textId="656F1C57" w:rsidR="00022A42" w:rsidRDefault="00022A42" w:rsidP="00022A42">
      <w:pPr>
        <w:pStyle w:val="ListParagraph"/>
        <w:numPr>
          <w:ilvl w:val="0"/>
          <w:numId w:val="3"/>
        </w:numPr>
      </w:pPr>
      <w:r>
        <w:t xml:space="preserve">Moving ETMY 30 mm in the direction toward global zero (closer to the </w:t>
      </w:r>
      <w:proofErr w:type="spellStart"/>
      <w:r>
        <w:t>beamsplitter</w:t>
      </w:r>
      <w:proofErr w:type="spellEnd"/>
      <w:r>
        <w:t>)</w:t>
      </w:r>
    </w:p>
    <w:p w14:paraId="79BD1F17" w14:textId="5BEB4187" w:rsidR="004C04E3" w:rsidRDefault="009E5FD9">
      <w:r>
        <w:t>Note that as a result the arm cavity length is shortened by 15 mm, with a new length of: 3994.485 m. This change is small enough (4e-6 fractional change) that RF modulation frequencies are not affected.</w:t>
      </w:r>
    </w:p>
    <w:p w14:paraId="46BB2CE9" w14:textId="77777777" w:rsidR="009E5FD9" w:rsidRDefault="009E5FD9"/>
    <w:p w14:paraId="6B3DC835" w14:textId="753D91E9" w:rsidR="009E5FD9" w:rsidRDefault="0036152E">
      <w:r>
        <w:t xml:space="preserve">See also </w:t>
      </w:r>
      <w:hyperlink r:id="rId20" w:history="1">
        <w:r w:rsidRPr="0036152E">
          <w:rPr>
            <w:rStyle w:val="Hyperlink"/>
          </w:rPr>
          <w:t>E1200345</w:t>
        </w:r>
      </w:hyperlink>
      <w:r>
        <w:t xml:space="preserve"> for a discussion of the impact of these moves on the BSC chamber layouts.</w:t>
      </w:r>
    </w:p>
    <w:p w14:paraId="2164A928" w14:textId="77777777" w:rsidR="009E5FD9" w:rsidRPr="009E5FD9" w:rsidRDefault="009E5FD9"/>
    <w:sectPr w:rsidR="009E5FD9" w:rsidRPr="009E5FD9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1622" w:right="1134" w:bottom="1926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A7F14" w14:textId="77777777" w:rsidR="00F91BA0" w:rsidRDefault="00F91BA0">
      <w:pPr>
        <w:spacing w:before="0"/>
      </w:pPr>
      <w:r>
        <w:separator/>
      </w:r>
    </w:p>
  </w:endnote>
  <w:endnote w:type="continuationSeparator" w:id="0">
    <w:p w14:paraId="2D4CA05F" w14:textId="77777777" w:rsidR="00F91BA0" w:rsidRDefault="00F91B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A5B79" w14:textId="77777777" w:rsidR="00F91BA0" w:rsidRDefault="00F91BA0">
    <w:pPr>
      <w:pStyle w:val="Footer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E3B7" w14:textId="77777777" w:rsidR="00F91BA0" w:rsidRDefault="00F91BA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8731C">
      <w:rPr>
        <w:noProof/>
      </w:rPr>
      <w:t>1</w:t>
    </w:r>
    <w:r>
      <w:fldChar w:fldCharType="end"/>
    </w:r>
  </w:p>
  <w:p w14:paraId="4E5DB60D" w14:textId="77777777" w:rsidR="00F91BA0" w:rsidRDefault="00F91B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500D6" w14:textId="77777777" w:rsidR="00F91BA0" w:rsidRDefault="00F91BA0">
      <w:pPr>
        <w:spacing w:before="0"/>
      </w:pPr>
      <w:r>
        <w:separator/>
      </w:r>
    </w:p>
  </w:footnote>
  <w:footnote w:type="continuationSeparator" w:id="0">
    <w:p w14:paraId="03C1426C" w14:textId="77777777" w:rsidR="00F91BA0" w:rsidRDefault="00F91B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CC3C" w14:textId="77777777" w:rsidR="00F91BA0" w:rsidRDefault="00F91BA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 xml:space="preserve"> LIGO</w:t>
    </w:r>
    <w:r>
      <w:rPr>
        <w:b/>
        <w:bCs/>
        <w:i/>
        <w:iCs/>
        <w:color w:val="0000FF"/>
        <w:sz w:val="20"/>
      </w:rPr>
      <w:tab/>
    </w:r>
    <w:r>
      <w:rPr>
        <w:b/>
        <w:bCs/>
        <w:i/>
        <w:iCs/>
        <w:color w:val="0000FF"/>
        <w:sz w:val="32"/>
      </w:rPr>
      <w:t>RODA</w:t>
    </w:r>
    <w:r>
      <w:rPr>
        <w:sz w:val="20"/>
      </w:rPr>
      <w:tab/>
      <w:t>LIGO-M1200134-v1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CB81" w14:textId="79F3F84C" w:rsidR="00F91BA0" w:rsidRDefault="00F91BA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 xml:space="preserve"> LIGO</w:t>
    </w:r>
    <w:r>
      <w:rPr>
        <w:b/>
        <w:bCs/>
        <w:i/>
        <w:iCs/>
        <w:color w:val="0000FF"/>
        <w:sz w:val="20"/>
      </w:rPr>
      <w:tab/>
    </w:r>
    <w:r>
      <w:rPr>
        <w:b/>
        <w:bCs/>
        <w:i/>
        <w:iCs/>
        <w:color w:val="0000FF"/>
        <w:sz w:val="32"/>
      </w:rPr>
      <w:t>RODA</w:t>
    </w:r>
    <w:r>
      <w:rPr>
        <w:sz w:val="20"/>
      </w:rPr>
      <w:tab/>
      <w:t>LIGO-M1200276-v1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880F0D"/>
    <w:multiLevelType w:val="hybridMultilevel"/>
    <w:tmpl w:val="4510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B8"/>
    <w:rsid w:val="00022A42"/>
    <w:rsid w:val="00164386"/>
    <w:rsid w:val="0036152E"/>
    <w:rsid w:val="004C04E3"/>
    <w:rsid w:val="004E741B"/>
    <w:rsid w:val="00587865"/>
    <w:rsid w:val="00633338"/>
    <w:rsid w:val="009E473E"/>
    <w:rsid w:val="009E5FD9"/>
    <w:rsid w:val="00D86032"/>
    <w:rsid w:val="00DB76B8"/>
    <w:rsid w:val="00E71CCE"/>
    <w:rsid w:val="00F11553"/>
    <w:rsid w:val="00F8731C"/>
    <w:rsid w:val="00F9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30AF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ageNumber1">
    <w:name w:val="Page Number1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noteReference1">
    <w:name w:val="Footnote Reference1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i w:val="0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pPr>
      <w:suppressAutoHyphens/>
    </w:pPr>
    <w:rPr>
      <w:rFonts w:ascii="Courier New" w:eastAsia="Arial Unicode MS" w:hAnsi="Courier New" w:cs="Arial Unicode MS"/>
      <w:kern w:val="1"/>
      <w:sz w:val="24"/>
      <w:szCs w:val="24"/>
      <w:lang w:eastAsia="hi-IN" w:bidi="hi-I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</w:style>
  <w:style w:type="paragraph" w:customStyle="1" w:styleId="Caption1">
    <w:name w:val="Caption1"/>
    <w:basedOn w:val="Normal"/>
    <w:pPr>
      <w:spacing w:after="120"/>
    </w:pPr>
    <w:rPr>
      <w:b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ofFigures1">
    <w:name w:val="Table of Figures1"/>
    <w:basedOn w:val="Normal"/>
    <w:pPr>
      <w:spacing w:before="0"/>
      <w:jc w:val="left"/>
    </w:pPr>
    <w:rPr>
      <w:i/>
      <w:iCs/>
    </w:rPr>
  </w:style>
  <w:style w:type="paragraph" w:styleId="TOC1">
    <w:name w:val="toc 1"/>
    <w:basedOn w:val="Normal"/>
    <w:pPr>
      <w:tabs>
        <w:tab w:val="right" w:leader="dot" w:pos="9972"/>
      </w:tabs>
      <w:jc w:val="left"/>
    </w:pPr>
    <w:rPr>
      <w:b/>
      <w:bCs/>
      <w:i/>
      <w:iCs/>
      <w:szCs w:val="28"/>
    </w:rPr>
  </w:style>
  <w:style w:type="paragraph" w:styleId="TOC2">
    <w:name w:val="toc 2"/>
    <w:basedOn w:val="Normal"/>
    <w:pPr>
      <w:tabs>
        <w:tab w:val="right" w:leader="dot" w:pos="9689"/>
      </w:tabs>
      <w:ind w:left="240"/>
      <w:jc w:val="left"/>
    </w:pPr>
    <w:rPr>
      <w:b/>
      <w:bCs/>
      <w:szCs w:val="26"/>
    </w:rPr>
  </w:style>
  <w:style w:type="paragraph" w:styleId="TOC3">
    <w:name w:val="toc 3"/>
    <w:basedOn w:val="Normal"/>
    <w:pPr>
      <w:tabs>
        <w:tab w:val="right" w:leader="dot" w:pos="9406"/>
      </w:tabs>
      <w:spacing w:before="0"/>
      <w:ind w:left="480"/>
      <w:jc w:val="left"/>
    </w:pPr>
  </w:style>
  <w:style w:type="paragraph" w:styleId="TOC4">
    <w:name w:val="toc 4"/>
    <w:basedOn w:val="Normal"/>
    <w:pPr>
      <w:tabs>
        <w:tab w:val="right" w:leader="dot" w:pos="9123"/>
      </w:tabs>
      <w:spacing w:before="0"/>
      <w:ind w:left="720"/>
      <w:jc w:val="left"/>
    </w:pPr>
  </w:style>
  <w:style w:type="paragraph" w:styleId="TOC5">
    <w:name w:val="toc 5"/>
    <w:basedOn w:val="Normal"/>
    <w:pPr>
      <w:tabs>
        <w:tab w:val="right" w:leader="dot" w:pos="8840"/>
      </w:tabs>
      <w:spacing w:before="0"/>
      <w:ind w:left="960"/>
      <w:jc w:val="left"/>
    </w:pPr>
  </w:style>
  <w:style w:type="paragraph" w:styleId="TOC6">
    <w:name w:val="toc 6"/>
    <w:basedOn w:val="Normal"/>
    <w:pPr>
      <w:tabs>
        <w:tab w:val="right" w:leader="dot" w:pos="8557"/>
      </w:tabs>
      <w:spacing w:before="0"/>
      <w:ind w:left="1200"/>
      <w:jc w:val="left"/>
    </w:pPr>
  </w:style>
  <w:style w:type="paragraph" w:styleId="TOC7">
    <w:name w:val="toc 7"/>
    <w:basedOn w:val="Normal"/>
    <w:pPr>
      <w:tabs>
        <w:tab w:val="right" w:leader="dot" w:pos="8274"/>
      </w:tabs>
      <w:spacing w:before="0"/>
      <w:ind w:left="1440"/>
      <w:jc w:val="left"/>
    </w:pPr>
  </w:style>
  <w:style w:type="paragraph" w:styleId="TOC8">
    <w:name w:val="toc 8"/>
    <w:basedOn w:val="Normal"/>
    <w:pPr>
      <w:tabs>
        <w:tab w:val="right" w:leader="dot" w:pos="7991"/>
      </w:tabs>
      <w:spacing w:before="0"/>
      <w:ind w:left="1680"/>
      <w:jc w:val="left"/>
    </w:pPr>
  </w:style>
  <w:style w:type="paragraph" w:styleId="TOC9">
    <w:name w:val="toc 9"/>
    <w:basedOn w:val="Normal"/>
    <w:pPr>
      <w:tabs>
        <w:tab w:val="right" w:leader="dot" w:pos="7708"/>
      </w:tabs>
      <w:spacing w:before="0"/>
      <w:ind w:left="1920"/>
      <w:jc w:val="left"/>
    </w:pPr>
  </w:style>
  <w:style w:type="paragraph" w:customStyle="1" w:styleId="FootnoteText1">
    <w:name w:val="Footnote Text1"/>
    <w:basedOn w:val="Normal"/>
    <w:rPr>
      <w:sz w:val="20"/>
    </w:rPr>
  </w:style>
  <w:style w:type="paragraph" w:styleId="BalloonText">
    <w:name w:val="Balloon Text"/>
    <w:basedOn w:val="Normal"/>
    <w:pPr>
      <w:spacing w:before="0"/>
    </w:pPr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22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BA0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before="120"/>
      <w:jc w:val="both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BodyText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BodyText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BodyText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BodyText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ageNumber1">
    <w:name w:val="Page Number1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FootnoteReference1">
    <w:name w:val="Footnote Reference1"/>
    <w:basedOn w:val="DefaultParagraphFont"/>
    <w:rPr>
      <w:vertAlign w:val="superscript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customStyle="1" w:styleId="ListLabel1">
    <w:name w:val="ListLabel 1"/>
    <w:rPr>
      <w:i w:val="0"/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pPr>
      <w:suppressAutoHyphens/>
    </w:pPr>
    <w:rPr>
      <w:rFonts w:ascii="Courier New" w:eastAsia="Arial Unicode MS" w:hAnsi="Courier New" w:cs="Arial Unicode MS"/>
      <w:kern w:val="1"/>
      <w:sz w:val="24"/>
      <w:szCs w:val="24"/>
      <w:lang w:eastAsia="hi-IN" w:bidi="hi-IN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</w:style>
  <w:style w:type="paragraph" w:customStyle="1" w:styleId="Caption1">
    <w:name w:val="Caption1"/>
    <w:basedOn w:val="Normal"/>
    <w:pPr>
      <w:spacing w:after="120"/>
    </w:pPr>
    <w:rPr>
      <w:b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ofFigures1">
    <w:name w:val="Table of Figures1"/>
    <w:basedOn w:val="Normal"/>
    <w:pPr>
      <w:spacing w:before="0"/>
      <w:jc w:val="left"/>
    </w:pPr>
    <w:rPr>
      <w:i/>
      <w:iCs/>
    </w:rPr>
  </w:style>
  <w:style w:type="paragraph" w:styleId="TOC1">
    <w:name w:val="toc 1"/>
    <w:basedOn w:val="Normal"/>
    <w:pPr>
      <w:tabs>
        <w:tab w:val="right" w:leader="dot" w:pos="9972"/>
      </w:tabs>
      <w:jc w:val="left"/>
    </w:pPr>
    <w:rPr>
      <w:b/>
      <w:bCs/>
      <w:i/>
      <w:iCs/>
      <w:szCs w:val="28"/>
    </w:rPr>
  </w:style>
  <w:style w:type="paragraph" w:styleId="TOC2">
    <w:name w:val="toc 2"/>
    <w:basedOn w:val="Normal"/>
    <w:pPr>
      <w:tabs>
        <w:tab w:val="right" w:leader="dot" w:pos="9689"/>
      </w:tabs>
      <w:ind w:left="240"/>
      <w:jc w:val="left"/>
    </w:pPr>
    <w:rPr>
      <w:b/>
      <w:bCs/>
      <w:szCs w:val="26"/>
    </w:rPr>
  </w:style>
  <w:style w:type="paragraph" w:styleId="TOC3">
    <w:name w:val="toc 3"/>
    <w:basedOn w:val="Normal"/>
    <w:pPr>
      <w:tabs>
        <w:tab w:val="right" w:leader="dot" w:pos="9406"/>
      </w:tabs>
      <w:spacing w:before="0"/>
      <w:ind w:left="480"/>
      <w:jc w:val="left"/>
    </w:pPr>
  </w:style>
  <w:style w:type="paragraph" w:styleId="TOC4">
    <w:name w:val="toc 4"/>
    <w:basedOn w:val="Normal"/>
    <w:pPr>
      <w:tabs>
        <w:tab w:val="right" w:leader="dot" w:pos="9123"/>
      </w:tabs>
      <w:spacing w:before="0"/>
      <w:ind w:left="720"/>
      <w:jc w:val="left"/>
    </w:pPr>
  </w:style>
  <w:style w:type="paragraph" w:styleId="TOC5">
    <w:name w:val="toc 5"/>
    <w:basedOn w:val="Normal"/>
    <w:pPr>
      <w:tabs>
        <w:tab w:val="right" w:leader="dot" w:pos="8840"/>
      </w:tabs>
      <w:spacing w:before="0"/>
      <w:ind w:left="960"/>
      <w:jc w:val="left"/>
    </w:pPr>
  </w:style>
  <w:style w:type="paragraph" w:styleId="TOC6">
    <w:name w:val="toc 6"/>
    <w:basedOn w:val="Normal"/>
    <w:pPr>
      <w:tabs>
        <w:tab w:val="right" w:leader="dot" w:pos="8557"/>
      </w:tabs>
      <w:spacing w:before="0"/>
      <w:ind w:left="1200"/>
      <w:jc w:val="left"/>
    </w:pPr>
  </w:style>
  <w:style w:type="paragraph" w:styleId="TOC7">
    <w:name w:val="toc 7"/>
    <w:basedOn w:val="Normal"/>
    <w:pPr>
      <w:tabs>
        <w:tab w:val="right" w:leader="dot" w:pos="8274"/>
      </w:tabs>
      <w:spacing w:before="0"/>
      <w:ind w:left="1440"/>
      <w:jc w:val="left"/>
    </w:pPr>
  </w:style>
  <w:style w:type="paragraph" w:styleId="TOC8">
    <w:name w:val="toc 8"/>
    <w:basedOn w:val="Normal"/>
    <w:pPr>
      <w:tabs>
        <w:tab w:val="right" w:leader="dot" w:pos="7991"/>
      </w:tabs>
      <w:spacing w:before="0"/>
      <w:ind w:left="1680"/>
      <w:jc w:val="left"/>
    </w:pPr>
  </w:style>
  <w:style w:type="paragraph" w:styleId="TOC9">
    <w:name w:val="toc 9"/>
    <w:basedOn w:val="Normal"/>
    <w:pPr>
      <w:tabs>
        <w:tab w:val="right" w:leader="dot" w:pos="7708"/>
      </w:tabs>
      <w:spacing w:before="0"/>
      <w:ind w:left="1920"/>
      <w:jc w:val="left"/>
    </w:pPr>
  </w:style>
  <w:style w:type="paragraph" w:customStyle="1" w:styleId="FootnoteText1">
    <w:name w:val="Footnote Text1"/>
    <w:basedOn w:val="Normal"/>
    <w:rPr>
      <w:sz w:val="20"/>
    </w:rPr>
  </w:style>
  <w:style w:type="paragraph" w:styleId="BalloonText">
    <w:name w:val="Balloon Text"/>
    <w:basedOn w:val="Normal"/>
    <w:pPr>
      <w:spacing w:before="0"/>
    </w:pPr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22A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1BA0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 w:cs="Times New Roman"/>
      <w:kern w:val="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hyperlink" Target="https://dcc.ligo.org/cgi-bin/private/DocDB/ShowDocument?docid=89880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hyperlink" Target="https://dcc.ligo.org/cgi-bin/private/DocDB/ShowDocument?docid=88611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Macintosh Word</Application>
  <DocSecurity>0</DocSecurity>
  <Lines>15</Lines>
  <Paragraphs>4</Paragraphs>
  <ScaleCrop>false</ScaleCrop>
  <Company>M.I.T.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Peter Fritschel User</cp:lastModifiedBy>
  <cp:revision>3</cp:revision>
  <cp:lastPrinted>2012-06-07T14:15:00Z</cp:lastPrinted>
  <dcterms:created xsi:type="dcterms:W3CDTF">2012-08-03T17:44:00Z</dcterms:created>
  <dcterms:modified xsi:type="dcterms:W3CDTF">2012-08-06T16:50:00Z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Caltech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