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B2" w:rsidRDefault="005F48B2">
      <w:pPr>
        <w:pStyle w:val="PlainText"/>
        <w:jc w:val="center"/>
        <w:rPr>
          <w:i/>
          <w:sz w:val="36"/>
        </w:rPr>
      </w:pPr>
    </w:p>
    <w:p w:rsidR="005F48B2" w:rsidRDefault="005F48B2">
      <w:pPr>
        <w:pStyle w:val="PlainText"/>
        <w:jc w:val="center"/>
        <w:rPr>
          <w:i/>
          <w:sz w:val="36"/>
        </w:rPr>
      </w:pPr>
      <w:r>
        <w:rPr>
          <w:i/>
          <w:sz w:val="36"/>
        </w:rPr>
        <w:t>LIGO Laboratory / LIGO Scientific Collaboration</w:t>
      </w:r>
    </w:p>
    <w:p w:rsidR="005F48B2" w:rsidRDefault="005F48B2">
      <w:pPr>
        <w:pStyle w:val="PlainText"/>
        <w:jc w:val="center"/>
        <w:rPr>
          <w:sz w:val="36"/>
        </w:rPr>
      </w:pPr>
    </w:p>
    <w:p w:rsidR="005F48B2" w:rsidRDefault="005F48B2">
      <w:pPr>
        <w:pStyle w:val="PlainText"/>
        <w:jc w:val="left"/>
        <w:rPr>
          <w:sz w:val="36"/>
        </w:rPr>
      </w:pPr>
    </w:p>
    <w:p w:rsidR="005F48B2" w:rsidRDefault="00A920B4" w:rsidP="00832753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tabs>
          <w:tab w:val="center" w:pos="5040"/>
          <w:tab w:val="right" w:pos="9360"/>
        </w:tabs>
      </w:pPr>
      <w:r>
        <w:t>LIGO-E</w:t>
      </w:r>
      <w:r w:rsidR="008E7496">
        <w:t>12</w:t>
      </w:r>
      <w:r w:rsidR="00F5292B">
        <w:t>xxxxx-v</w:t>
      </w:r>
      <w:r w:rsidR="00832753">
        <w:t>1</w:t>
      </w:r>
      <w:r w:rsidR="005F48B2">
        <w:tab/>
      </w:r>
      <w:r w:rsidR="005F48B2">
        <w:rPr>
          <w:rFonts w:ascii="Times" w:hAnsi="Times"/>
          <w:i/>
          <w:iCs/>
          <w:color w:val="0000FF"/>
          <w:sz w:val="40"/>
        </w:rPr>
        <w:t>LIGO</w:t>
      </w:r>
      <w:r w:rsidR="005F48B2">
        <w:tab/>
        <w:t>Date</w:t>
      </w:r>
    </w:p>
    <w:p w:rsidR="005F48B2" w:rsidRDefault="00075E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5" style="width:0;height:1.5pt" o:hralign="center" o:hrstd="t" o:hr="t" fillcolor="gray" stroked="f"/>
        </w:pict>
      </w:r>
    </w:p>
    <w:p w:rsidR="005F48B2" w:rsidRDefault="00A920B4">
      <w:pPr>
        <w:pStyle w:val="BodyText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t>Operation Manual for</w:t>
      </w:r>
      <w:bookmarkStart w:id="0" w:name="_GoBack"/>
      <w:bookmarkEnd w:id="0"/>
      <w:r>
        <w:t xml:space="preserve"> &lt;</w:t>
      </w:r>
      <w:r w:rsidRPr="00A920B4">
        <w:t xml:space="preserve"> device, unit, </w:t>
      </w:r>
      <w:proofErr w:type="gramStart"/>
      <w:r w:rsidRPr="00A920B4">
        <w:t>assembly, ...</w:t>
      </w:r>
      <w:proofErr w:type="gramEnd"/>
      <w:r w:rsidRPr="00A920B4">
        <w:t xml:space="preserve"> name</w:t>
      </w:r>
      <w:r>
        <w:t>&gt;</w:t>
      </w:r>
    </w:p>
    <w:p w:rsidR="005F48B2" w:rsidRDefault="00075EA0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</w:pPr>
      <w:r>
        <w:pict>
          <v:rect id="_x0000_i1026" style="width:0;height:1.5pt" o:hralign="center" o:hrstd="t" o:hr="t" fillcolor="gray" stroked="f"/>
        </w:pict>
      </w:r>
    </w:p>
    <w:p w:rsidR="005F48B2" w:rsidRDefault="005F48B2">
      <w:p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Author(s)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Distribution of this document:</w:t>
      </w:r>
    </w:p>
    <w:p w:rsidR="005F48B2" w:rsidRDefault="00E66298">
      <w:pPr>
        <w:pStyle w:val="PlainText"/>
        <w:spacing w:before="0"/>
        <w:jc w:val="center"/>
      </w:pPr>
      <w:r>
        <w:t>LIGO Scientific</w:t>
      </w:r>
      <w:r w:rsidR="005F48B2">
        <w:t xml:space="preserve"> Collaboration</w:t>
      </w:r>
    </w:p>
    <w:p w:rsidR="005F48B2" w:rsidRDefault="005F48B2">
      <w:pPr>
        <w:pStyle w:val="PlainText"/>
        <w:spacing w:before="0"/>
        <w:jc w:val="center"/>
      </w:pPr>
    </w:p>
    <w:p w:rsidR="005F48B2" w:rsidRDefault="005F48B2">
      <w:pPr>
        <w:pStyle w:val="PlainText"/>
        <w:spacing w:before="0"/>
        <w:jc w:val="center"/>
      </w:pPr>
      <w:r>
        <w:t>This is an internal working note</w:t>
      </w:r>
    </w:p>
    <w:p w:rsidR="005F48B2" w:rsidRDefault="00E66298">
      <w:pPr>
        <w:pStyle w:val="PlainText"/>
        <w:spacing w:before="0"/>
        <w:jc w:val="center"/>
      </w:pPr>
      <w:proofErr w:type="gramStart"/>
      <w:r>
        <w:t>of</w:t>
      </w:r>
      <w:proofErr w:type="gramEnd"/>
      <w:r>
        <w:t xml:space="preserve"> the LIGO Laboratory</w:t>
      </w:r>
      <w:r w:rsidR="005F48B2">
        <w:t>.</w:t>
      </w:r>
    </w:p>
    <w:p w:rsidR="005F48B2" w:rsidRDefault="005F48B2">
      <w:pPr>
        <w:pStyle w:val="PlainText"/>
        <w:spacing w:before="0"/>
        <w:jc w:val="left"/>
      </w:pPr>
    </w:p>
    <w:p w:rsidR="008E7496" w:rsidRDefault="008E7496">
      <w:pPr>
        <w:pStyle w:val="PlainText"/>
        <w:spacing w:before="0"/>
        <w:jc w:val="left"/>
      </w:pPr>
    </w:p>
    <w:p w:rsidR="008E7496" w:rsidRDefault="008E7496">
      <w:pPr>
        <w:pStyle w:val="PlainText"/>
        <w:spacing w:before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03"/>
        <w:gridCol w:w="4903"/>
      </w:tblGrid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California Institute of Technology</w:t>
            </w:r>
          </w:p>
          <w:p w:rsidR="005F48B2" w:rsidRPr="005F48B2" w:rsidRDefault="005F48B2" w:rsidP="008E7496">
            <w:pPr>
              <w:pStyle w:val="PlainText"/>
              <w:spacing w:before="0"/>
              <w:jc w:val="center"/>
              <w:rPr>
                <w:color w:val="808080"/>
                <w:lang w:val="it-IT"/>
              </w:rPr>
            </w:pPr>
            <w:r>
              <w:rPr>
                <w:b/>
                <w:bCs/>
                <w:color w:val="808080"/>
              </w:rPr>
              <w:t>LIGO Project</w:t>
            </w: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>Massachusetts Institute of Technology</w:t>
            </w:r>
          </w:p>
          <w:p w:rsidR="005F48B2" w:rsidRDefault="00E66298" w:rsidP="008E7496">
            <w:pPr>
              <w:pStyle w:val="PlainText"/>
              <w:spacing w:before="0"/>
              <w:jc w:val="center"/>
              <w:rPr>
                <w:color w:val="808080"/>
              </w:rPr>
            </w:pPr>
            <w:r>
              <w:rPr>
                <w:b/>
                <w:bCs/>
                <w:color w:val="808080"/>
              </w:rPr>
              <w:t>LIGO Project</w:t>
            </w:r>
          </w:p>
        </w:tc>
      </w:tr>
      <w:tr w:rsidR="005F48B2"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808080"/>
                  </w:rPr>
                  <w:t>Hanford</w:t>
                </w:r>
              </w:smartTag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</w:tc>
        <w:tc>
          <w:tcPr>
            <w:tcW w:w="4909" w:type="dxa"/>
          </w:tcPr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8E7496" w:rsidRDefault="008E7496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  <w:r>
              <w:rPr>
                <w:b/>
                <w:bCs/>
                <w:color w:val="808080"/>
              </w:rPr>
              <w:t xml:space="preserve">LIGO </w:t>
            </w:r>
            <w:smartTag w:uri="urn:schemas-microsoft-com:office:smarttags" w:element="place">
              <w:r>
                <w:rPr>
                  <w:b/>
                  <w:bCs/>
                  <w:color w:val="808080"/>
                </w:rPr>
                <w:t>Livingston</w:t>
              </w:r>
            </w:smartTag>
            <w:r>
              <w:rPr>
                <w:b/>
                <w:bCs/>
                <w:color w:val="808080"/>
              </w:rPr>
              <w:t xml:space="preserve"> Observatory</w:t>
            </w:r>
          </w:p>
          <w:p w:rsidR="005F48B2" w:rsidRDefault="005F48B2">
            <w:pPr>
              <w:pStyle w:val="PlainText"/>
              <w:spacing w:before="0"/>
              <w:jc w:val="center"/>
              <w:rPr>
                <w:b/>
                <w:bCs/>
                <w:color w:val="808080"/>
              </w:rPr>
            </w:pPr>
          </w:p>
        </w:tc>
      </w:tr>
    </w:tbl>
    <w:p w:rsidR="005F48B2" w:rsidRDefault="005F48B2">
      <w:pPr>
        <w:pStyle w:val="PlainText"/>
        <w:jc w:val="center"/>
      </w:pPr>
      <w:r>
        <w:t>http://www.ligo.caltech.edu/</w:t>
      </w:r>
    </w:p>
    <w:p w:rsidR="009F6572" w:rsidRDefault="005F48B2" w:rsidP="009F6572">
      <w:r>
        <w:br w:type="page"/>
      </w:r>
    </w:p>
    <w:sdt>
      <w:sdtPr>
        <w:id w:val="-18281898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noProof/>
          <w:color w:val="auto"/>
          <w:sz w:val="24"/>
          <w:szCs w:val="20"/>
          <w:lang w:eastAsia="en-US"/>
        </w:rPr>
      </w:sdtEndPr>
      <w:sdtContent>
        <w:p w:rsidR="009F6572" w:rsidRDefault="009F6572">
          <w:pPr>
            <w:pStyle w:val="TOCHeading"/>
          </w:pPr>
          <w:r>
            <w:t>Contents</w:t>
          </w:r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561894" w:history="1">
            <w:r w:rsidRPr="002D33C0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Safety, general warnings and cautions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895" w:history="1">
            <w:r w:rsidRPr="002D33C0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Description and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896" w:history="1">
            <w:r w:rsidRPr="002D33C0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Context within aLIGO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897" w:history="1">
            <w:r w:rsidRPr="002D33C0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Quick Start Guide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898" w:history="1">
            <w:r w:rsidRPr="002D33C0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Setup or initialization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899" w:history="1">
            <w:r w:rsidRPr="002D33C0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Check-out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0" w:history="1">
            <w:r w:rsidRPr="002D33C0">
              <w:rPr>
                <w:rStyle w:val="Hyperlink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Operating Instructions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1" w:history="1">
            <w:r w:rsidRPr="002D33C0">
              <w:rPr>
                <w:rStyle w:val="Hyperlink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Calibration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2" w:history="1">
            <w:r w:rsidRPr="002D33C0">
              <w:rPr>
                <w:rStyle w:val="Hyperlink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Maintenance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3" w:history="1">
            <w:r w:rsidRPr="002D33C0">
              <w:rPr>
                <w:rStyle w:val="Hyperlink"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Storage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4" w:history="1">
            <w:r w:rsidRPr="002D33C0">
              <w:rPr>
                <w:rStyle w:val="Hyperlink"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Troubleshooting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5" w:history="1">
            <w:r w:rsidRPr="002D33C0">
              <w:rPr>
                <w:rStyle w:val="Hyperlink"/>
                <w:noProof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pPr>
            <w:pStyle w:val="TOC1"/>
            <w:tabs>
              <w:tab w:val="left" w:pos="480"/>
              <w:tab w:val="right" w:leader="dot" w:pos="958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340561906" w:history="1">
            <w:r w:rsidRPr="002D33C0">
              <w:rPr>
                <w:rStyle w:val="Hyperlink"/>
                <w:noProof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Pr="002D33C0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_Toc340561906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F6572" w:rsidRDefault="009F6572">
          <w:r>
            <w:rPr>
              <w:b/>
              <w:bCs/>
              <w:noProof/>
            </w:rPr>
            <w:fldChar w:fldCharType="end"/>
          </w:r>
        </w:p>
      </w:sdtContent>
    </w:sdt>
    <w:p w:rsidR="009F6572" w:rsidRPr="009F6572" w:rsidRDefault="009F6572" w:rsidP="009F6572">
      <w:pPr>
        <w:pStyle w:val="Header"/>
        <w:rPr>
          <w:color w:val="365F91" w:themeColor="accent1" w:themeShade="BF"/>
        </w:rPr>
      </w:pPr>
      <w:r w:rsidRPr="009F6572">
        <w:rPr>
          <w:color w:val="365F91" w:themeColor="accent1" w:themeShade="BF"/>
        </w:rPr>
        <w:t>List of Figures</w:t>
      </w:r>
    </w:p>
    <w:p w:rsidR="009F6572" w:rsidRPr="006D639F" w:rsidRDefault="009F6572" w:rsidP="009F6572">
      <w:fldSimple w:instr=" TOC \h \z \c &quot;Figure&quot; ">
        <w:r>
          <w:rPr>
            <w:b/>
            <w:bCs/>
            <w:noProof/>
          </w:rPr>
          <w:t>No table of figures entries found.</w:t>
        </w:r>
      </w:fldSimple>
    </w:p>
    <w:p w:rsidR="009F6572" w:rsidRDefault="009F6572" w:rsidP="009F6572"/>
    <w:p w:rsidR="009F6572" w:rsidRDefault="009F6572" w:rsidP="009F6572">
      <w:pPr>
        <w:pStyle w:val="Header"/>
        <w:rPr>
          <w:color w:val="365F91" w:themeColor="accent1" w:themeShade="BF"/>
        </w:rPr>
      </w:pPr>
      <w:r w:rsidRPr="006D639F">
        <w:rPr>
          <w:color w:val="365F91" w:themeColor="accent1" w:themeShade="BF"/>
        </w:rPr>
        <w:t>List of Tables</w:t>
      </w:r>
    </w:p>
    <w:p w:rsidR="009F6572" w:rsidRPr="006D639F" w:rsidRDefault="009F6572" w:rsidP="009F6572">
      <w:fldSimple w:instr=" TOC \h \z \c &quot;Table&quot; ">
        <w:r>
          <w:rPr>
            <w:b/>
            <w:bCs/>
            <w:noProof/>
          </w:rPr>
          <w:t>No table of figures entries found.</w:t>
        </w:r>
      </w:fldSimple>
    </w:p>
    <w:p w:rsidR="009F6572" w:rsidRDefault="009F6572" w:rsidP="009F6572"/>
    <w:p w:rsidR="009F6572" w:rsidRPr="006D639F" w:rsidRDefault="009F6572" w:rsidP="009F6572">
      <w:pPr>
        <w:pStyle w:val="Header"/>
        <w:rPr>
          <w:color w:val="365F91" w:themeColor="accent1" w:themeShade="BF"/>
        </w:rPr>
      </w:pPr>
      <w:r w:rsidRPr="006D639F">
        <w:rPr>
          <w:color w:val="365F91" w:themeColor="accent1" w:themeShade="BF"/>
        </w:rPr>
        <w:t>List of Nomenclature</w:t>
      </w:r>
    </w:p>
    <w:p w:rsidR="005F48B2" w:rsidRDefault="005F48B2"/>
    <w:p w:rsidR="009F6572" w:rsidRPr="006D639F" w:rsidRDefault="009F6572" w:rsidP="009F6572">
      <w:pPr>
        <w:pStyle w:val="Heading1"/>
      </w:pPr>
      <w:bookmarkStart w:id="1" w:name="_Toc340561894"/>
      <w:r w:rsidRPr="006D639F">
        <w:t>Safety, general warnings and cautions</w:t>
      </w:r>
      <w:bookmarkEnd w:id="1"/>
    </w:p>
    <w:p w:rsidR="009F6572" w:rsidRDefault="009F6572" w:rsidP="009F6572">
      <w:pPr>
        <w:pStyle w:val="Heading1"/>
      </w:pPr>
      <w:bookmarkStart w:id="2" w:name="_Toc340561895"/>
      <w:r>
        <w:t>Description and Purpose</w:t>
      </w:r>
      <w:bookmarkEnd w:id="2"/>
    </w:p>
    <w:p w:rsidR="009F6572" w:rsidRPr="006D639F" w:rsidRDefault="009F6572" w:rsidP="009F6572">
      <w:r w:rsidRPr="006D639F">
        <w:t xml:space="preserve">Brief description of the element/component/subsystem covered by this manual and </w:t>
      </w:r>
      <w:proofErr w:type="spellStart"/>
      <w:proofErr w:type="gramStart"/>
      <w:r w:rsidRPr="006D639F">
        <w:t>it's</w:t>
      </w:r>
      <w:proofErr w:type="spellEnd"/>
      <w:proofErr w:type="gramEnd"/>
      <w:r w:rsidRPr="006D639F">
        <w:t xml:space="preserve"> purpose.</w:t>
      </w:r>
    </w:p>
    <w:p w:rsidR="009F6572" w:rsidRDefault="009F6572" w:rsidP="009F6572">
      <w:pPr>
        <w:pStyle w:val="Heading1"/>
      </w:pPr>
      <w:bookmarkStart w:id="3" w:name="_Toc340561896"/>
      <w:r>
        <w:t xml:space="preserve">Context within </w:t>
      </w:r>
      <w:proofErr w:type="spellStart"/>
      <w:r>
        <w:t>aLIGO</w:t>
      </w:r>
      <w:bookmarkEnd w:id="3"/>
      <w:proofErr w:type="spellEnd"/>
    </w:p>
    <w:p w:rsidR="009F6572" w:rsidRPr="006D639F" w:rsidRDefault="009F6572" w:rsidP="009F6572">
      <w:proofErr w:type="gramStart"/>
      <w:r w:rsidRPr="006D639F">
        <w:t>describe</w:t>
      </w:r>
      <w:proofErr w:type="gramEnd"/>
      <w:r w:rsidRPr="006D639F">
        <w:t xml:space="preserve"> where this piece of equipment is within the </w:t>
      </w:r>
      <w:proofErr w:type="spellStart"/>
      <w:r w:rsidRPr="006D639F">
        <w:t>aLIGO</w:t>
      </w:r>
      <w:proofErr w:type="spellEnd"/>
      <w:r w:rsidRPr="006D639F">
        <w:t xml:space="preserve"> System (e.g. a component of subassembly A, which is part of assembly B, which is within the X subsystem)</w:t>
      </w:r>
    </w:p>
    <w:p w:rsidR="009F6572" w:rsidRDefault="009F6572" w:rsidP="009F6572">
      <w:pPr>
        <w:pStyle w:val="Heading1"/>
      </w:pPr>
      <w:bookmarkStart w:id="4" w:name="_Toc340561897"/>
      <w:r>
        <w:t>Quick Start Guide</w:t>
      </w:r>
      <w:bookmarkEnd w:id="4"/>
    </w:p>
    <w:p w:rsidR="009F6572" w:rsidRDefault="009F6572" w:rsidP="009F6572">
      <w:r>
        <w:t>Optional section</w:t>
      </w:r>
    </w:p>
    <w:p w:rsidR="009F6572" w:rsidRPr="006D639F" w:rsidRDefault="009F6572" w:rsidP="009F6572">
      <w:pPr>
        <w:pStyle w:val="Heading1"/>
      </w:pPr>
      <w:bookmarkStart w:id="5" w:name="_Toc340561898"/>
      <w:r w:rsidRPr="006D639F">
        <w:lastRenderedPageBreak/>
        <w:t>Setup or initialization</w:t>
      </w:r>
      <w:bookmarkEnd w:id="5"/>
    </w:p>
    <w:p w:rsidR="009F6572" w:rsidRPr="006D639F" w:rsidRDefault="009F6572" w:rsidP="009F6572">
      <w:pPr>
        <w:pStyle w:val="Heading1"/>
      </w:pPr>
      <w:bookmarkStart w:id="6" w:name="_Toc340561899"/>
      <w:r w:rsidRPr="006D639F">
        <w:t>Check-out</w:t>
      </w:r>
      <w:bookmarkEnd w:id="6"/>
    </w:p>
    <w:p w:rsidR="009F6572" w:rsidRPr="006D639F" w:rsidRDefault="009F6572" w:rsidP="009F6572">
      <w:pPr>
        <w:pStyle w:val="Heading1"/>
      </w:pPr>
      <w:bookmarkStart w:id="7" w:name="_Toc340561900"/>
      <w:r w:rsidRPr="006D639F">
        <w:t>Operating Instructions</w:t>
      </w:r>
      <w:bookmarkEnd w:id="7"/>
    </w:p>
    <w:p w:rsidR="009F6572" w:rsidRPr="006D639F" w:rsidRDefault="009F6572" w:rsidP="009F6572">
      <w:pPr>
        <w:pStyle w:val="Heading1"/>
      </w:pPr>
      <w:bookmarkStart w:id="8" w:name="_Toc340561901"/>
      <w:r w:rsidRPr="006D639F">
        <w:t>Calibration</w:t>
      </w:r>
      <w:bookmarkEnd w:id="8"/>
    </w:p>
    <w:p w:rsidR="009F6572" w:rsidRPr="006D639F" w:rsidRDefault="009F6572" w:rsidP="009F6572">
      <w:pPr>
        <w:pStyle w:val="Heading1"/>
      </w:pPr>
      <w:bookmarkStart w:id="9" w:name="_Toc340561902"/>
      <w:r w:rsidRPr="006D639F">
        <w:t>Maintenance</w:t>
      </w:r>
      <w:bookmarkEnd w:id="9"/>
    </w:p>
    <w:p w:rsidR="009F6572" w:rsidRPr="006D639F" w:rsidRDefault="009F6572" w:rsidP="009F6572">
      <w:pPr>
        <w:pStyle w:val="Heading1"/>
      </w:pPr>
      <w:bookmarkStart w:id="10" w:name="_Toc340561903"/>
      <w:r w:rsidRPr="006D639F">
        <w:t>Storage</w:t>
      </w:r>
      <w:bookmarkEnd w:id="10"/>
    </w:p>
    <w:p w:rsidR="009F6572" w:rsidRPr="006D639F" w:rsidRDefault="009F6572" w:rsidP="009F6572">
      <w:pPr>
        <w:pStyle w:val="Heading1"/>
      </w:pPr>
      <w:bookmarkStart w:id="11" w:name="_Toc340561904"/>
      <w:r w:rsidRPr="006D639F">
        <w:t>Troubleshooting</w:t>
      </w:r>
      <w:bookmarkEnd w:id="11"/>
    </w:p>
    <w:p w:rsidR="009F6572" w:rsidRDefault="009F6572" w:rsidP="009F6572">
      <w:pPr>
        <w:pStyle w:val="Heading1"/>
      </w:pPr>
      <w:bookmarkStart w:id="12" w:name="_Toc340561905"/>
      <w:r>
        <w:t>References</w:t>
      </w:r>
      <w:bookmarkEnd w:id="12"/>
    </w:p>
    <w:p w:rsidR="009F6572" w:rsidRPr="006D639F" w:rsidRDefault="009F6572" w:rsidP="009F6572">
      <w:r w:rsidRPr="006D639F">
        <w:t>Include top-level references on the design and specifications for this unit. Include any subsidiary or related manuals.</w:t>
      </w:r>
    </w:p>
    <w:p w:rsidR="009F6572" w:rsidRDefault="009F6572" w:rsidP="009F6572">
      <w:pPr>
        <w:pStyle w:val="Heading1"/>
      </w:pPr>
      <w:bookmarkStart w:id="13" w:name="_Toc340561906"/>
      <w:r>
        <w:t>Appendices</w:t>
      </w:r>
      <w:bookmarkEnd w:id="13"/>
    </w:p>
    <w:p w:rsidR="009F6572" w:rsidRPr="006D639F" w:rsidRDefault="009F6572" w:rsidP="009F6572">
      <w:proofErr w:type="gramStart"/>
      <w:r>
        <w:t>if/as</w:t>
      </w:r>
      <w:proofErr w:type="gramEnd"/>
      <w:r>
        <w:t xml:space="preserve"> needed</w:t>
      </w:r>
    </w:p>
    <w:p w:rsidR="009F6572" w:rsidRDefault="009F6572"/>
    <w:sectPr w:rsidR="009F6572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 w:code="1"/>
      <w:pgMar w:top="1440" w:right="1325" w:bottom="1440" w:left="13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A0" w:rsidRDefault="00075EA0">
      <w:r>
        <w:separator/>
      </w:r>
    </w:p>
  </w:endnote>
  <w:endnote w:type="continuationSeparator" w:id="0">
    <w:p w:rsidR="00075EA0" w:rsidRDefault="000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B2" w:rsidRDefault="005F48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B2" w:rsidRDefault="005F48B2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73B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48B2" w:rsidRDefault="005F48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A0" w:rsidRDefault="00075EA0">
      <w:r>
        <w:separator/>
      </w:r>
    </w:p>
  </w:footnote>
  <w:footnote w:type="continuationSeparator" w:id="0">
    <w:p w:rsidR="00075EA0" w:rsidRDefault="0007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B2" w:rsidRDefault="00A920B4" w:rsidP="003028CB">
    <w:pPr>
      <w:pStyle w:val="Header"/>
      <w:tabs>
        <w:tab w:val="clear" w:pos="4320"/>
        <w:tab w:val="clear" w:pos="8640"/>
        <w:tab w:val="right" w:pos="9630"/>
      </w:tabs>
      <w:rPr>
        <w:color w:val="365F91" w:themeColor="accent1" w:themeShade="BF"/>
      </w:rPr>
    </w:pPr>
    <w:r w:rsidRPr="009F6572">
      <w:rPr>
        <w:color w:val="365F91" w:themeColor="accent1" w:themeShade="BF"/>
        <w:sz w:val="24"/>
        <w:szCs w:val="24"/>
      </w:rPr>
      <w:t>LIGO-E</w:t>
    </w:r>
    <w:r w:rsidR="008E7496" w:rsidRPr="009F6572">
      <w:rPr>
        <w:color w:val="365F91" w:themeColor="accent1" w:themeShade="BF"/>
        <w:sz w:val="24"/>
        <w:szCs w:val="24"/>
      </w:rPr>
      <w:t>12</w:t>
    </w:r>
    <w:r w:rsidR="00F5292B" w:rsidRPr="009F6572">
      <w:rPr>
        <w:color w:val="365F91" w:themeColor="accent1" w:themeShade="BF"/>
        <w:sz w:val="24"/>
        <w:szCs w:val="24"/>
      </w:rPr>
      <w:t>xxxxx-v1</w:t>
    </w:r>
    <w:r w:rsidR="009F6572">
      <w:rPr>
        <w:color w:val="365F91" w:themeColor="accent1" w:themeShade="BF"/>
        <w:sz w:val="24"/>
        <w:szCs w:val="24"/>
      </w:rPr>
      <w:tab/>
      <w:t>Operation Manual for &lt;name&gt;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B2" w:rsidRDefault="00FE73B5" w:rsidP="00FE73B5">
    <w:pPr>
      <w:pStyle w:val="Header"/>
      <w:tabs>
        <w:tab w:val="clear" w:pos="4320"/>
        <w:tab w:val="clear" w:pos="8640"/>
        <w:tab w:val="right" w:pos="9630"/>
      </w:tabs>
      <w:rPr>
        <w:color w:val="365F91" w:themeColor="accent1" w:themeShade="BF"/>
      </w:rPr>
    </w:pPr>
    <w:r>
      <w:rPr>
        <w:color w:val="365F91" w:themeColor="accent1" w:themeShade="BF"/>
      </w:rPr>
      <w:tab/>
    </w:r>
    <w:r w:rsidR="005F48B2">
      <w:rPr>
        <w:color w:val="365F91" w:themeColor="accent1" w:themeShade="BF"/>
      </w:rPr>
      <w:t>Laser Interferometer Gravitational Wave Observatory</w:t>
    </w:r>
    <w:r w:rsidR="005F48B2">
      <w:rPr>
        <w:noProof/>
        <w:color w:val="365F91" w:themeColor="accent1" w:themeShade="BF"/>
        <w:sz w:val="20"/>
      </w:rPr>
      <w:t xml:space="preserve"> </w:t>
    </w:r>
    <w:r w:rsidR="00075EA0">
      <w:rPr>
        <w:noProof/>
        <w:color w:val="365F91" w:themeColor="accent1" w:themeShade="BF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.75pt;width:78.05pt;height:57pt;z-index:251657728;mso-position-horizontal-relative:text;mso-position-vertical-relative:text" fillcolor="#d49fff" strokecolor="#114ffb" strokeweight="1pt">
          <v:stroke startarrowwidth="narrow" startarrowlength="short" endarrowwidth="narrow" endarrowlength="short"/>
          <v:imagedata r:id="rId1" o:title=""/>
          <v:shadow color="#cecece"/>
          <w10:wrap type="topAndBottom"/>
        </v:shape>
        <o:OLEObject Type="Embed" ProgID="MSPhotoEd.3" ShapeID="_x0000_s2049" DrawAspect="Content" ObjectID="_1414303905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E1EAA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9DFA09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DC0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A4696"/>
    <w:multiLevelType w:val="multilevel"/>
    <w:tmpl w:val="30164A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5292C6D"/>
    <w:multiLevelType w:val="multilevel"/>
    <w:tmpl w:val="04A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97F2E"/>
    <w:multiLevelType w:val="multilevel"/>
    <w:tmpl w:val="C29217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874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9F6452"/>
    <w:multiLevelType w:val="multilevel"/>
    <w:tmpl w:val="42923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30A15C6E"/>
    <w:multiLevelType w:val="multilevel"/>
    <w:tmpl w:val="54F251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8A404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0D73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B66B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05723ED"/>
    <w:multiLevelType w:val="singleLevel"/>
    <w:tmpl w:val="F78ECE7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8"/>
      </w:rPr>
    </w:lvl>
  </w:abstractNum>
  <w:abstractNum w:abstractNumId="13">
    <w:nsid w:val="60B37888"/>
    <w:multiLevelType w:val="multilevel"/>
    <w:tmpl w:val="4FE0C2D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FC0392"/>
    <w:multiLevelType w:val="multilevel"/>
    <w:tmpl w:val="EFFE61D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5617CBE"/>
    <w:multiLevelType w:val="multilevel"/>
    <w:tmpl w:val="9978F8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F3A52E2"/>
    <w:multiLevelType w:val="singleLevel"/>
    <w:tmpl w:val="FE127B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783271C2"/>
    <w:multiLevelType w:val="multilevel"/>
    <w:tmpl w:val="BBC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33082"/>
    <w:multiLevelType w:val="multilevel"/>
    <w:tmpl w:val="391C6F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11"/>
  </w:num>
  <w:num w:numId="10">
    <w:abstractNumId w:val="1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15"/>
  </w:num>
  <w:num w:numId="16">
    <w:abstractNumId w:val="9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  <w:lvlOverride w:ilvl="0">
      <w:lvl w:ilvl="0">
        <w:start w:val="2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lvlText w:val="1.%2 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24">
    <w:abstractNumId w:val="18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B2"/>
    <w:rsid w:val="00075EA0"/>
    <w:rsid w:val="003028CB"/>
    <w:rsid w:val="0036226E"/>
    <w:rsid w:val="0054334E"/>
    <w:rsid w:val="00563A05"/>
    <w:rsid w:val="005E13FE"/>
    <w:rsid w:val="005F48B2"/>
    <w:rsid w:val="00776291"/>
    <w:rsid w:val="0078145B"/>
    <w:rsid w:val="00832753"/>
    <w:rsid w:val="008E7496"/>
    <w:rsid w:val="009022BF"/>
    <w:rsid w:val="009F6572"/>
    <w:rsid w:val="00A920B4"/>
    <w:rsid w:val="00CC3B9F"/>
    <w:rsid w:val="00E271E7"/>
    <w:rsid w:val="00E66298"/>
    <w:rsid w:val="00F5292B"/>
    <w:rsid w:val="00F65452"/>
    <w:rsid w:val="00FB3DA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Pr>
      <w:rFonts w:ascii="Courier New" w:hAnsi="Courier New"/>
      <w:snapToGrid w:val="0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9F6572"/>
    <w:pPr>
      <w:tabs>
        <w:tab w:val="center" w:pos="4320"/>
        <w:tab w:val="right" w:pos="8640"/>
      </w:tabs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57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ja-JP"/>
    </w:rPr>
  </w:style>
  <w:style w:type="paragraph" w:styleId="BalloonText">
    <w:name w:val="Balloon Text"/>
    <w:basedOn w:val="Normal"/>
    <w:link w:val="BalloonTextChar"/>
    <w:rsid w:val="009F65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2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autoRedefine/>
    <w:qFormat/>
    <w:pPr>
      <w:keepNext/>
      <w:numPr>
        <w:ilvl w:val="3"/>
        <w:numId w:val="24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2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TMLBody">
    <w:name w:val="HTML Body"/>
    <w:rPr>
      <w:rFonts w:ascii="Courier New" w:hAnsi="Courier New"/>
      <w:snapToGrid w:val="0"/>
    </w:rPr>
  </w:style>
  <w:style w:type="paragraph" w:styleId="ListNumber">
    <w:name w:val="List Number"/>
    <w:basedOn w:val="Normal"/>
    <w:pPr>
      <w:numPr>
        <w:numId w:val="1"/>
      </w:numPr>
    </w:pPr>
  </w:style>
  <w:style w:type="paragraph" w:styleId="ListNumber2">
    <w:name w:val="List Number 2"/>
    <w:basedOn w:val="Normal"/>
    <w:pPr>
      <w:numPr>
        <w:numId w:val="2"/>
      </w:numPr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9F6572"/>
    <w:pPr>
      <w:tabs>
        <w:tab w:val="center" w:pos="4320"/>
        <w:tab w:val="right" w:pos="8640"/>
      </w:tabs>
    </w:pPr>
    <w:rPr>
      <w:rFonts w:asciiTheme="majorHAnsi" w:hAnsiTheme="majorHAnsi"/>
      <w:b/>
      <w:color w:val="365F91" w:themeColor="accent1" w:themeShade="BF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Times" w:hAnsi="Times"/>
      <w:sz w:val="40"/>
    </w:rPr>
  </w:style>
  <w:style w:type="paragraph" w:styleId="TableofFigures">
    <w:name w:val="table of figures"/>
    <w:basedOn w:val="Normal"/>
    <w:next w:val="Normal"/>
    <w:semiHidden/>
    <w:pPr>
      <w:spacing w:before="0"/>
      <w:jc w:val="left"/>
    </w:pPr>
    <w:rPr>
      <w:i/>
      <w:iCs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jc w:val="left"/>
    </w:pPr>
    <w:rPr>
      <w:b/>
      <w:bCs/>
      <w:i/>
      <w:iCs/>
      <w:szCs w:val="28"/>
    </w:rPr>
  </w:style>
  <w:style w:type="paragraph" w:styleId="TOC2">
    <w:name w:val="toc 2"/>
    <w:basedOn w:val="Normal"/>
    <w:next w:val="Normal"/>
    <w:autoRedefine/>
    <w:semiHidden/>
    <w:pPr>
      <w:ind w:left="240"/>
      <w:jc w:val="left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pPr>
      <w:spacing w:before="0"/>
      <w:ind w:left="48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pPr>
      <w:spacing w:before="0"/>
      <w:ind w:left="72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pPr>
      <w:spacing w:before="0"/>
      <w:ind w:left="96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pPr>
      <w:spacing w:before="0"/>
      <w:ind w:left="12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spacing w:before="0"/>
      <w:ind w:left="144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spacing w:before="0"/>
      <w:ind w:left="168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spacing w:before="0"/>
      <w:ind w:left="1920"/>
      <w:jc w:val="left"/>
    </w:pPr>
    <w:rPr>
      <w:szCs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572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ja-JP"/>
    </w:rPr>
  </w:style>
  <w:style w:type="paragraph" w:styleId="BalloonText">
    <w:name w:val="Balloon Text"/>
    <w:basedOn w:val="Normal"/>
    <w:link w:val="BalloonTextChar"/>
    <w:rsid w:val="009F65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781B-FC9E-44A3-B21A-E54D3291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2049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Interferometer Gravitational Wave Observatory</vt:lpstr>
    </vt:vector>
  </TitlesOfParts>
  <Company>Caltech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Interferometer Gravitational Wave Observatory</dc:title>
  <dc:creator>Dennis Coyne</dc:creator>
  <cp:lastModifiedBy>coyne</cp:lastModifiedBy>
  <cp:revision>4</cp:revision>
  <cp:lastPrinted>2000-07-19T02:21:00Z</cp:lastPrinted>
  <dcterms:created xsi:type="dcterms:W3CDTF">2012-11-13T17:12:00Z</dcterms:created>
  <dcterms:modified xsi:type="dcterms:W3CDTF">2012-11-13T17:25:00Z</dcterms:modified>
</cp:coreProperties>
</file>