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</w:t>
      </w:r>
      <w:r w:rsidR="00091E3B">
        <w:t>300162</w:t>
      </w:r>
      <w:r w:rsidR="00F5292B">
        <w:t>-v</w:t>
      </w:r>
      <w:r w:rsidR="006A3DAE">
        <w:t>2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473B2D">
        <w:tab/>
      </w:r>
      <w:r w:rsidR="009711EB">
        <w:t>July 3</w:t>
      </w:r>
      <w:r w:rsidR="005E0CA6">
        <w:t>, 2013</w:t>
      </w:r>
    </w:p>
    <w:p w:rsidR="005F48B2" w:rsidRDefault="00121B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FD75DE" w:rsidRDefault="000A2069" w:rsidP="00FD75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P</w:t>
      </w:r>
      <w:r w:rsidR="006F0DE3">
        <w:t>hoton Calibrator</w:t>
      </w:r>
      <w:r w:rsidR="006255AF">
        <w:t xml:space="preserve">: </w:t>
      </w:r>
    </w:p>
    <w:p w:rsidR="005F48B2" w:rsidRDefault="000A2069" w:rsidP="00FD75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Optical Follower Servo</w:t>
      </w:r>
      <w:r w:rsidR="00337F1E">
        <w:t xml:space="preserve"> </w:t>
      </w:r>
      <w:r>
        <w:t>Design Requirements</w:t>
      </w:r>
    </w:p>
    <w:p w:rsidR="005F48B2" w:rsidRDefault="00121B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F944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Gregorio Téllez, Rick Savage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p w:rsidR="008E7496" w:rsidRDefault="008E7496">
      <w:pPr>
        <w:pStyle w:val="PlainText"/>
        <w:spacing w:before="0"/>
        <w:jc w:val="left"/>
      </w:pPr>
    </w:p>
    <w:p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5F48B2" w:rsidRDefault="005F48B2" w:rsidP="003B2C9E">
      <w:pPr>
        <w:pStyle w:val="Heading1"/>
      </w:pPr>
      <w:r>
        <w:br w:type="page"/>
      </w:r>
      <w:r>
        <w:lastRenderedPageBreak/>
        <w:t>Introduction</w:t>
      </w:r>
    </w:p>
    <w:p w:rsidR="004F10BA" w:rsidRDefault="00D21C1A" w:rsidP="005C6FCD">
      <w:pPr>
        <w:ind w:firstLine="432"/>
      </w:pPr>
      <w:r>
        <w:t>To induce calibrated displ</w:t>
      </w:r>
      <w:r w:rsidR="00D55BEA">
        <w:t>acements of the interferometer</w:t>
      </w:r>
      <w:r w:rsidR="00865DCF">
        <w:t xml:space="preserve"> test masses</w:t>
      </w:r>
      <w:r>
        <w:t xml:space="preserve">, the photon calibrator </w:t>
      </w:r>
      <w:r w:rsidR="000777C8">
        <w:t xml:space="preserve">uses a </w:t>
      </w:r>
      <w:r>
        <w:t>power modulated</w:t>
      </w:r>
      <w:r w:rsidR="003A5514">
        <w:t xml:space="preserve"> 2W</w:t>
      </w:r>
      <w:r>
        <w:t xml:space="preserve"> laser</w:t>
      </w:r>
      <w:r w:rsidR="00CE0600">
        <w:t>. The laser</w:t>
      </w:r>
      <w:r w:rsidR="000777C8">
        <w:t xml:space="preserve"> </w:t>
      </w:r>
      <w:r w:rsidR="00D35E66">
        <w:t>provokes</w:t>
      </w:r>
      <w:r>
        <w:t xml:space="preserve"> a small displacement that is proportional to the amount of p</w:t>
      </w:r>
      <w:r w:rsidR="000777C8">
        <w:t>hotons that arrive at each End Test Mass (ETM</w:t>
      </w:r>
      <w:r w:rsidR="00CB59AA">
        <w:t>)</w:t>
      </w:r>
      <w:r w:rsidR="000777C8">
        <w:t>.</w:t>
      </w:r>
      <w:r>
        <w:t xml:space="preserve"> </w:t>
      </w:r>
      <w:r w:rsidR="004F10BA">
        <w:t xml:space="preserve">Each of the </w:t>
      </w:r>
      <w:r w:rsidR="00572768">
        <w:t>excitations</w:t>
      </w:r>
      <w:r w:rsidR="00A138BD">
        <w:t xml:space="preserve"> </w:t>
      </w:r>
      <w:r w:rsidR="00607E20">
        <w:t>that the P</w:t>
      </w:r>
      <w:r w:rsidR="004F10BA">
        <w:t>cal induces can be seen as calibration or excitation lines</w:t>
      </w:r>
      <w:r w:rsidR="00851E92">
        <w:t xml:space="preserve"> in the interferometer readout. </w:t>
      </w:r>
      <w:r w:rsidR="00A96F44">
        <w:t>The</w:t>
      </w:r>
      <w:r w:rsidR="00203070">
        <w:t xml:space="preserve"> </w:t>
      </w:r>
      <w:r w:rsidR="00D859AC">
        <w:t xml:space="preserve">Photon Calibrator </w:t>
      </w:r>
      <w:r w:rsidR="004F10BA">
        <w:t>Design Requirements</w:t>
      </w:r>
      <w:r w:rsidR="00322E1F">
        <w:t xml:space="preserve"> document</w:t>
      </w:r>
      <w:r w:rsidR="00203070">
        <w:t xml:space="preserve">, </w:t>
      </w:r>
      <w:hyperlink r:id="rId9" w:history="1">
        <w:r w:rsidR="000427AB" w:rsidRPr="00021B3F">
          <w:rPr>
            <w:rStyle w:val="Hyperlink"/>
          </w:rPr>
          <w:t>LIGO-</w:t>
        </w:r>
        <w:r w:rsidR="00851E92" w:rsidRPr="00021B3F">
          <w:rPr>
            <w:rStyle w:val="Hyperlink"/>
          </w:rPr>
          <w:t>T1100044</w:t>
        </w:r>
      </w:hyperlink>
      <w:r w:rsidR="00851E92">
        <w:t xml:space="preserve">, </w:t>
      </w:r>
      <w:r w:rsidR="00203070">
        <w:t xml:space="preserve">contains more information </w:t>
      </w:r>
      <w:r w:rsidR="00A21C51">
        <w:t xml:space="preserve">on the specifications </w:t>
      </w:r>
      <w:r w:rsidR="0023668D">
        <w:t>and means</w:t>
      </w:r>
      <w:r w:rsidR="00203070">
        <w:t xml:space="preserve"> for calibrating the interferometer</w:t>
      </w:r>
      <w:r w:rsidR="004F10BA">
        <w:t>.</w:t>
      </w:r>
    </w:p>
    <w:p w:rsidR="002B57C4" w:rsidRDefault="004F10BA" w:rsidP="00616AEC">
      <w:pPr>
        <w:ind w:firstLine="432"/>
      </w:pPr>
      <w:r>
        <w:t xml:space="preserve">In order to ensure that the calibrated displacement is of a single-tone at </w:t>
      </w:r>
      <w:r w:rsidR="00B55995">
        <w:t>a desired frequency,</w:t>
      </w:r>
      <w:r>
        <w:t xml:space="preserve"> a</w:t>
      </w:r>
      <w:r w:rsidR="00FC0F47">
        <w:t>n</w:t>
      </w:r>
      <w:r>
        <w:t xml:space="preserve"> </w:t>
      </w:r>
      <w:r w:rsidR="00987306">
        <w:t xml:space="preserve">active </w:t>
      </w:r>
      <w:r w:rsidR="00194DE6">
        <w:t>controller (servo)</w:t>
      </w:r>
      <w:r>
        <w:t xml:space="preserve"> can be used to </w:t>
      </w:r>
      <w:r w:rsidR="00A06459">
        <w:t xml:space="preserve">improve the purity of the </w:t>
      </w:r>
      <w:r w:rsidR="00C8627F">
        <w:t>modulated waveform by means of</w:t>
      </w:r>
      <w:r w:rsidR="00A06459">
        <w:t xml:space="preserve"> </w:t>
      </w:r>
      <w:r w:rsidR="00CE163C">
        <w:t>feedback control</w:t>
      </w:r>
      <w:r w:rsidR="00DA16A5">
        <w:t>.</w:t>
      </w:r>
      <w:r w:rsidR="00A06459">
        <w:t xml:space="preserve"> </w:t>
      </w:r>
      <w:r w:rsidR="009A2BDD">
        <w:t xml:space="preserve">This servo loop used for the Pcal is known as the </w:t>
      </w:r>
      <w:r w:rsidR="009A2BDD" w:rsidRPr="002B0085">
        <w:rPr>
          <w:i/>
        </w:rPr>
        <w:t>Optical Follower Servo</w:t>
      </w:r>
      <w:r w:rsidR="009A2BDD">
        <w:t>.</w:t>
      </w:r>
    </w:p>
    <w:p w:rsidR="00DE4FCC" w:rsidRDefault="00772008" w:rsidP="009236E0">
      <w:pPr>
        <w:ind w:firstLine="432"/>
      </w:pPr>
      <w:r>
        <w:t xml:space="preserve">In this document, the </w:t>
      </w:r>
      <w:r w:rsidR="00BD42FA">
        <w:t xml:space="preserve">design and performance </w:t>
      </w:r>
      <w:r>
        <w:t>requirements for the Optical Follower Servo</w:t>
      </w:r>
      <w:r w:rsidR="00DD7776">
        <w:t xml:space="preserve"> </w:t>
      </w:r>
      <w:r>
        <w:t xml:space="preserve">(OFS) are described, along with its implementation in aLIGO. </w:t>
      </w:r>
      <w:r w:rsidR="00BD42FA">
        <w:t xml:space="preserve"> </w:t>
      </w:r>
    </w:p>
    <w:p w:rsidR="00310132" w:rsidRDefault="00310132" w:rsidP="00310132">
      <w:pPr>
        <w:pStyle w:val="Heading1"/>
      </w:pPr>
      <w:r>
        <w:t>Optical Follower Servo</w:t>
      </w:r>
      <w:r w:rsidR="00F27041">
        <w:t xml:space="preserve"> </w:t>
      </w:r>
      <w:r>
        <w:t>(OFS</w:t>
      </w:r>
      <w:r w:rsidR="003839FC">
        <w:t>) Electronic</w:t>
      </w:r>
      <w:r w:rsidR="0035643C">
        <w:t xml:space="preserve"> Noise Requirements  </w:t>
      </w:r>
    </w:p>
    <w:p w:rsidR="00772008" w:rsidRDefault="00772008" w:rsidP="00616AEC">
      <w:pPr>
        <w:ind w:firstLine="432"/>
      </w:pPr>
      <w:r>
        <w:t>The Optical Follower Servo will be used in the Advanced LIGO Photon Calibrator as a means to reduce the relative power noise (RPN) of the laser and achieve maximum sideband to carrier suppression of the modulated</w:t>
      </w:r>
      <w:r w:rsidR="00A8626C">
        <w:t xml:space="preserve"> output</w:t>
      </w:r>
      <w:r>
        <w:t xml:space="preserve"> waveform</w:t>
      </w:r>
      <w:r w:rsidR="00C42E68">
        <w:t xml:space="preserve">. </w:t>
      </w:r>
      <w:r w:rsidR="0035643C">
        <w:t>The following</w:t>
      </w:r>
      <w:r w:rsidR="00252891">
        <w:t xml:space="preserve"> </w:t>
      </w:r>
      <w:r w:rsidR="0035643C">
        <w:t xml:space="preserve">subsections </w:t>
      </w:r>
      <w:r w:rsidR="00114AAB">
        <w:t xml:space="preserve">give an overview </w:t>
      </w:r>
      <w:r w:rsidR="001E4675">
        <w:t>of the</w:t>
      </w:r>
      <w:r w:rsidR="00C8627F">
        <w:t>se</w:t>
      </w:r>
      <w:r w:rsidR="001E4675">
        <w:t xml:space="preserve"> </w:t>
      </w:r>
      <w:r w:rsidR="00252891">
        <w:t>unwan</w:t>
      </w:r>
      <w:r w:rsidR="002B0085">
        <w:t xml:space="preserve">ted displacement </w:t>
      </w:r>
      <w:r w:rsidR="00FE482D">
        <w:t xml:space="preserve">noise sources </w:t>
      </w:r>
      <w:r w:rsidR="00252891">
        <w:t>and the amount of suppression necessary to achieve the aLIGO requirement.</w:t>
      </w:r>
    </w:p>
    <w:p w:rsidR="005F48B2" w:rsidRDefault="00EE1C9E">
      <w:pPr>
        <w:pStyle w:val="Heading2"/>
      </w:pPr>
      <w:r>
        <w:t>Relative Power Noise</w:t>
      </w:r>
      <w:r w:rsidR="005F3778">
        <w:t xml:space="preserve"> (RPN)</w:t>
      </w:r>
    </w:p>
    <w:p w:rsidR="005F48B2" w:rsidRDefault="00A4091E" w:rsidP="00616AEC">
      <w:pPr>
        <w:ind w:firstLine="576"/>
      </w:pPr>
      <w:r>
        <w:t xml:space="preserve">In Section </w:t>
      </w:r>
      <w:r>
        <w:fldChar w:fldCharType="begin"/>
      </w:r>
      <w:r>
        <w:instrText xml:space="preserve"> REF _Ref349563511 \r \h </w:instrText>
      </w:r>
      <w:r>
        <w:fldChar w:fldCharType="separate"/>
      </w:r>
      <w:r w:rsidR="00324EFC">
        <w:t>6</w:t>
      </w:r>
      <w:r>
        <w:fldChar w:fldCharType="end"/>
      </w:r>
      <w:r>
        <w:t xml:space="preserve"> of this document, we show the requirements for RPN for a given interferometer </w:t>
      </w:r>
      <w:r w:rsidR="00350356">
        <w:t xml:space="preserve">readout </w:t>
      </w:r>
      <w:r w:rsidR="002E0958">
        <w:t xml:space="preserve">configuration. </w:t>
      </w:r>
      <w:r w:rsidR="001F637B">
        <w:t>According to our characterization</w:t>
      </w:r>
      <w:r w:rsidR="00651D44">
        <w:t xml:space="preserve"> of </w:t>
      </w:r>
      <w:r w:rsidR="00E57B3D">
        <w:t xml:space="preserve">the aLIGO </w:t>
      </w:r>
      <w:r w:rsidR="00651D44">
        <w:t xml:space="preserve">lasers, </w:t>
      </w:r>
      <w:r w:rsidR="00BE6A21">
        <w:t xml:space="preserve">given in </w:t>
      </w:r>
      <w:hyperlink r:id="rId10" w:history="1">
        <w:r w:rsidR="00B341AD" w:rsidRPr="00021B3F">
          <w:rPr>
            <w:rStyle w:val="Hyperlink"/>
          </w:rPr>
          <w:t>LIGO-</w:t>
        </w:r>
        <w:r w:rsidR="00BE6A21" w:rsidRPr="00021B3F">
          <w:rPr>
            <w:rStyle w:val="Hyperlink"/>
          </w:rPr>
          <w:t>T1300100</w:t>
        </w:r>
      </w:hyperlink>
      <w:r w:rsidR="002C73D5">
        <w:t xml:space="preserve">, </w:t>
      </w:r>
      <w:r w:rsidR="00D23EEA">
        <w:t xml:space="preserve">for the Zero-Detuning High Power configuration, </w:t>
      </w:r>
      <w:r w:rsidR="005A412A">
        <w:t>the</w:t>
      </w:r>
      <w:r w:rsidR="009C3BA3">
        <w:t xml:space="preserve"> RPN of the free-running aLIGO Pcal lasers needs to</w:t>
      </w:r>
      <w:r w:rsidR="00150073">
        <w:t xml:space="preserve"> be suppressed </w:t>
      </w:r>
      <w:r w:rsidR="00D51C50">
        <w:t>by approximately 20</w:t>
      </w:r>
      <w:r w:rsidR="00D60F66">
        <w:t xml:space="preserve"> </w:t>
      </w:r>
      <w:r w:rsidR="0025464E">
        <w:t>dB</w:t>
      </w:r>
      <w:r w:rsidR="008A355E">
        <w:t xml:space="preserve"> at frequencies below 1</w:t>
      </w:r>
      <w:r w:rsidR="00422417">
        <w:t>00Hz</w:t>
      </w:r>
      <w:r w:rsidR="00EB4CC0">
        <w:t>.</w:t>
      </w:r>
      <w:r w:rsidR="00394D77">
        <w:t xml:space="preserve"> </w:t>
      </w:r>
    </w:p>
    <w:p w:rsidR="00F522B9" w:rsidRDefault="00F522B9" w:rsidP="00F522B9">
      <w:pPr>
        <w:pStyle w:val="Heading2"/>
      </w:pPr>
      <w:r>
        <w:t>Carrier to Sideband Suppression</w:t>
      </w:r>
      <w:r w:rsidR="00394D77">
        <w:t xml:space="preserve"> </w:t>
      </w:r>
    </w:p>
    <w:p w:rsidR="00ED75AD" w:rsidRDefault="006717A8" w:rsidP="00E32A0A">
      <w:pPr>
        <w:ind w:firstLine="576"/>
      </w:pPr>
      <w:r>
        <w:t xml:space="preserve">The displacement </w:t>
      </w:r>
      <w:r w:rsidR="000F16BC">
        <w:t>noise that arises</w:t>
      </w:r>
      <w:r>
        <w:t xml:space="preserve"> from the Pcal modulation frequencies must</w:t>
      </w:r>
      <w:r w:rsidR="00717E08">
        <w:t xml:space="preserve"> not exceed 10% of the design sensitivity</w:t>
      </w:r>
      <w:r w:rsidR="00287AE9">
        <w:t xml:space="preserve"> as per </w:t>
      </w:r>
      <w:hyperlink r:id="rId11" w:history="1">
        <w:r w:rsidR="00287AE9" w:rsidRPr="00021B3F">
          <w:rPr>
            <w:rStyle w:val="Hyperlink"/>
          </w:rPr>
          <w:t>LIGO-T1100068</w:t>
        </w:r>
      </w:hyperlink>
      <w:r w:rsidR="00287AE9">
        <w:t>.</w:t>
      </w:r>
      <w:r>
        <w:t xml:space="preserve"> </w:t>
      </w:r>
      <w:r w:rsidR="000F16BC">
        <w:t>This requirement is relaxed at higher modulation frequencies</w:t>
      </w:r>
      <w:r w:rsidR="00717E08">
        <w:t xml:space="preserve"> since the amplitudes of the induced noise fall-off as the square of the modulation frequency (1/f</w:t>
      </w:r>
      <w:r w:rsidR="00717E08" w:rsidRPr="00717E08">
        <w:rPr>
          <w:vertAlign w:val="superscript"/>
        </w:rPr>
        <w:t>2</w:t>
      </w:r>
      <w:r w:rsidR="00717E08">
        <w:t>)</w:t>
      </w:r>
      <w:r w:rsidR="000F16BC">
        <w:t xml:space="preserve">. </w:t>
      </w:r>
      <w:r w:rsidR="00ED75AD">
        <w:t xml:space="preserve"> </w:t>
      </w:r>
      <w:r w:rsidR="00F76135">
        <w:t xml:space="preserve"> </w:t>
      </w:r>
      <w:r w:rsidR="00ED75AD">
        <w:t xml:space="preserve">The maximum harmonic amplitude </w:t>
      </w:r>
      <w:r w:rsidR="00BC39EC">
        <w:t>can be expressed as</w:t>
      </w:r>
      <w:r w:rsidR="00ED75AD">
        <w:t>:</w:t>
      </w:r>
    </w:p>
    <w:p w:rsidR="005D3533" w:rsidRDefault="00ED75AD" w:rsidP="004D50C2">
      <w:pPr>
        <w:ind w:firstLine="576"/>
        <w:jc w:val="center"/>
      </w:pPr>
      <w:r>
        <w:t>Max. Harmonic =</w:t>
      </w:r>
      <w:r w:rsidR="002D5FD8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0.1*</m:t>
            </m:r>
            <m:r>
              <w:rPr>
                <w:rFonts w:ascii="Cambria Math" w:hAnsi="Cambria Math"/>
                <w:sz w:val="32"/>
              </w:rPr>
              <m:t>h(f)</m:t>
            </m:r>
          </m:num>
          <m:den>
            <m:r>
              <w:rPr>
                <w:rFonts w:ascii="Cambria Math" w:hAnsi="Cambria Math"/>
                <w:sz w:val="32"/>
              </w:rPr>
              <m:t>SNR*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T</m:t>
                </m:r>
              </m:e>
            </m:rad>
          </m:den>
        </m:f>
      </m:oMath>
    </w:p>
    <w:p w:rsidR="005D3533" w:rsidRDefault="005D3533" w:rsidP="005D3533">
      <w:r>
        <w:t xml:space="preserve">where the </w:t>
      </w:r>
      <w:r w:rsidR="004D50C2" w:rsidRPr="004D50C2">
        <w:rPr>
          <w:i/>
        </w:rPr>
        <w:t>SNR</w:t>
      </w:r>
      <w:r w:rsidR="004D50C2">
        <w:t xml:space="preserve"> is the signal to noise ratio of the specific modulation frequency, </w:t>
      </w:r>
      <w:r w:rsidR="004D50C2" w:rsidRPr="004D50C2">
        <w:rPr>
          <w:i/>
        </w:rPr>
        <w:t>T</w:t>
      </w:r>
      <w:r w:rsidR="004D50C2">
        <w:t xml:space="preserve"> is the measurement time and </w:t>
      </w:r>
      <w:r w:rsidR="002D72BF" w:rsidRPr="002D72BF">
        <w:rPr>
          <w:i/>
        </w:rPr>
        <w:t>h(f)</w:t>
      </w:r>
      <w:r w:rsidR="002D72BF">
        <w:t xml:space="preserve"> is the </w:t>
      </w:r>
      <w:r w:rsidR="00670115">
        <w:t>s</w:t>
      </w:r>
      <w:r w:rsidRPr="002D72BF">
        <w:t>ensitivity</w:t>
      </w:r>
      <w:r>
        <w:t xml:space="preserve"> </w:t>
      </w:r>
      <w:r w:rsidR="00670115">
        <w:t xml:space="preserve">corresponding to </w:t>
      </w:r>
      <w:r>
        <w:t xml:space="preserve">the Zero-Detuning High Power Option displayed in Section </w:t>
      </w:r>
      <w:r>
        <w:fldChar w:fldCharType="begin"/>
      </w:r>
      <w:r>
        <w:instrText xml:space="preserve"> REF _Ref349636012 \r \h </w:instrText>
      </w:r>
      <w:r>
        <w:fldChar w:fldCharType="separate"/>
      </w:r>
      <w:r w:rsidR="00324EFC">
        <w:t>7</w:t>
      </w:r>
      <w:r>
        <w:fldChar w:fldCharType="end"/>
      </w:r>
      <w:r>
        <w:t>.</w:t>
      </w:r>
    </w:p>
    <w:p w:rsidR="00930FFE" w:rsidRDefault="000F16BC" w:rsidP="005D3533">
      <w:pPr>
        <w:ind w:firstLine="576"/>
      </w:pPr>
      <w:r>
        <w:t xml:space="preserve">The relationship of maximum allowable relative harmonic noise, up to the fourth harmonic (for two interferometer operation modes), is </w:t>
      </w:r>
      <w:r w:rsidR="00A44759">
        <w:t xml:space="preserve">included in </w:t>
      </w:r>
      <w:fldSimple w:instr=" REF _Ref349563511 ">
        <w:r w:rsidR="00324EFC">
          <w:t>Appendix 1: RPN and Harmonic Suppression Requirements</w:t>
        </w:r>
      </w:fldSimple>
      <w:r w:rsidR="00A44759">
        <w:t>.</w:t>
      </w:r>
      <w:r w:rsidR="00113CAB">
        <w:t xml:space="preserve"> The desired suppression is expected to be realized by our designed OFS.</w:t>
      </w:r>
      <w:r w:rsidR="005D3533">
        <w:t xml:space="preserve"> </w:t>
      </w:r>
      <w:r w:rsidR="00AC008B">
        <w:t>A measurement of relative harmonic displacement for various util</w:t>
      </w:r>
      <w:r w:rsidR="00817303">
        <w:t>ized powers is presented in (</w:t>
      </w:r>
      <w:hyperlink r:id="rId12" w:history="1">
        <w:r w:rsidR="00817303" w:rsidRPr="00B341AD">
          <w:rPr>
            <w:rStyle w:val="Hyperlink"/>
          </w:rPr>
          <w:t>LIGO-T1100567</w:t>
        </w:r>
      </w:hyperlink>
      <w:r w:rsidR="00817303">
        <w:t>).</w:t>
      </w:r>
    </w:p>
    <w:p w:rsidR="008243D7" w:rsidRDefault="00E81920" w:rsidP="008243D7">
      <w:pPr>
        <w:pStyle w:val="Heading1"/>
      </w:pPr>
      <w:bookmarkStart w:id="0" w:name="_Ref358121415"/>
      <w:r>
        <w:lastRenderedPageBreak/>
        <w:t>Block Diagram</w:t>
      </w:r>
      <w:r w:rsidR="008243D7">
        <w:t xml:space="preserve"> Representation</w:t>
      </w:r>
      <w:r w:rsidR="005C0618">
        <w:t xml:space="preserve"> of OFS</w:t>
      </w:r>
      <w:bookmarkEnd w:id="0"/>
      <w:r w:rsidR="001176D9">
        <w:t xml:space="preserve"> </w:t>
      </w:r>
    </w:p>
    <w:p w:rsidR="00AF2F4A" w:rsidRDefault="00AF2F4A" w:rsidP="00AF2F4A">
      <w:pPr>
        <w:ind w:firstLine="720"/>
      </w:pPr>
      <w:r>
        <w:t xml:space="preserve">Figure 1 shows the block diagram representation of the Optical </w:t>
      </w:r>
      <w:r w:rsidR="00546A0D">
        <w:t>Follower Servo. The dashed line</w:t>
      </w:r>
      <w:r w:rsidR="00486E81">
        <w:t>s</w:t>
      </w:r>
      <w:r>
        <w:t xml:space="preserve"> represent laser light in the loop</w:t>
      </w:r>
      <w:r w:rsidR="00641362">
        <w:t>,</w:t>
      </w:r>
      <w:r>
        <w:t xml:space="preserve"> while solid lines represent electronic signals.</w:t>
      </w:r>
    </w:p>
    <w:p w:rsidR="006255AF" w:rsidRDefault="00585608" w:rsidP="007D08EF">
      <w:pPr>
        <w:keepNext/>
        <w:jc w:val="center"/>
      </w:pPr>
      <w:r>
        <w:rPr>
          <w:noProof/>
        </w:rPr>
        <w:drawing>
          <wp:inline distT="0" distB="0" distL="0" distR="0" wp14:anchorId="286690B6" wp14:editId="01CA63BF">
            <wp:extent cx="4518838" cy="1800939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Block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854" cy="181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3D7" w:rsidRDefault="006255AF" w:rsidP="006255AF">
      <w:pPr>
        <w:pStyle w:val="Caption"/>
        <w:jc w:val="center"/>
      </w:pPr>
      <w:r>
        <w:t xml:space="preserve">Figure </w:t>
      </w:r>
      <w:fldSimple w:instr=" SEQ Figure \* ARABIC ">
        <w:r w:rsidR="000332BE">
          <w:rPr>
            <w:noProof/>
          </w:rPr>
          <w:t>1</w:t>
        </w:r>
      </w:fldSimple>
      <w:r>
        <w:t>:</w:t>
      </w:r>
      <w:r w:rsidR="005A6864">
        <w:t xml:space="preserve"> Optical Follower Servo Block Diagram Representation</w:t>
      </w:r>
    </w:p>
    <w:p w:rsidR="005A6864" w:rsidRPr="005A6864" w:rsidRDefault="005A6864" w:rsidP="005A6864"/>
    <w:p w:rsidR="000C36E1" w:rsidRDefault="005A412A" w:rsidP="00616AEC">
      <w:pPr>
        <w:ind w:firstLine="720"/>
      </w:pPr>
      <w:r>
        <w:t>From F</w:t>
      </w:r>
      <w:r w:rsidR="00AB6CF2">
        <w:t>igure 1, t</w:t>
      </w:r>
      <w:r w:rsidR="000C36E1">
        <w:t xml:space="preserve">he </w:t>
      </w:r>
      <w:r w:rsidR="0040211D">
        <w:t xml:space="preserve">closed loop </w:t>
      </w:r>
      <w:r w:rsidR="000C36E1">
        <w:t>transfer</w:t>
      </w:r>
      <w:r w:rsidR="0040211D">
        <w:t xml:space="preserve"> function </w:t>
      </w:r>
      <w:r w:rsidR="009B4C43">
        <w:t>of the OFS</w:t>
      </w:r>
      <w:r w:rsidR="00392D42">
        <w:t>, neglecting inherent laser noise (N</w:t>
      </w:r>
      <w:r w:rsidR="00392D42" w:rsidRPr="00392D42">
        <w:rPr>
          <w:vertAlign w:val="subscript"/>
        </w:rPr>
        <w:t>L</w:t>
      </w:r>
      <w:r w:rsidR="00392D42">
        <w:t>)</w:t>
      </w:r>
      <w:r>
        <w:t>, can</w:t>
      </w:r>
      <w:r w:rsidR="0040211D">
        <w:t xml:space="preserve"> then be stated as</w:t>
      </w:r>
      <w:r w:rsidR="000C36E1">
        <w:t>:</w:t>
      </w:r>
    </w:p>
    <w:p w:rsidR="00392D42" w:rsidRDefault="00121BDA" w:rsidP="000C36E1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AG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1+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</m:oMath>
      </m:oMathPara>
    </w:p>
    <w:p w:rsidR="00150073" w:rsidRDefault="0040211D" w:rsidP="005437E6">
      <w:r>
        <w:t xml:space="preserve">where </w:t>
      </w:r>
      <w:r w:rsidRPr="007C329A">
        <w:rPr>
          <w:i/>
        </w:rPr>
        <w:t>A</w:t>
      </w:r>
      <w:r>
        <w:t xml:space="preserve"> is the actuator (AOM), </w:t>
      </w:r>
      <w:r w:rsidRPr="007C329A">
        <w:rPr>
          <w:i/>
        </w:rPr>
        <w:t>S</w:t>
      </w:r>
      <w:r>
        <w:t xml:space="preserve"> is the sensor (Photodiode), </w:t>
      </w:r>
      <w:r w:rsidRPr="007C329A">
        <w:rPr>
          <w:i/>
        </w:rPr>
        <w:t>K</w:t>
      </w:r>
      <w:r>
        <w:t xml:space="preserve"> is the percentage of light power sampled (~1%) and </w:t>
      </w:r>
      <w:r w:rsidRPr="007C329A">
        <w:rPr>
          <w:i/>
        </w:rPr>
        <w:t>G</w:t>
      </w:r>
      <w:r w:rsidRPr="007C329A">
        <w:rPr>
          <w:i/>
          <w:vertAlign w:val="subscript"/>
        </w:rPr>
        <w:t>1</w:t>
      </w:r>
      <w:r>
        <w:t xml:space="preserve"> and </w:t>
      </w:r>
      <w:r w:rsidRPr="007C329A">
        <w:rPr>
          <w:i/>
        </w:rPr>
        <w:t>G</w:t>
      </w:r>
      <w:r w:rsidRPr="007C329A">
        <w:rPr>
          <w:i/>
          <w:vertAlign w:val="subscript"/>
        </w:rPr>
        <w:t>2</w:t>
      </w:r>
      <w:r>
        <w:t xml:space="preserve"> are gain stages in the</w:t>
      </w:r>
      <w:r w:rsidR="009D0F7A">
        <w:t xml:space="preserve"> </w:t>
      </w:r>
      <w:r w:rsidR="005857E2">
        <w:t xml:space="preserve">feedforward and </w:t>
      </w:r>
      <w:r w:rsidR="009D0F7A">
        <w:t>feedback, respectively.</w:t>
      </w:r>
      <w:r w:rsidR="00B128FF">
        <w:t xml:space="preserve"> </w:t>
      </w:r>
      <w:r w:rsidR="00150073">
        <w:t xml:space="preserve">The parameters for each </w:t>
      </w:r>
      <w:r w:rsidR="00D3760F">
        <w:t>of the elements are</w:t>
      </w:r>
      <w:r w:rsidR="0056386E">
        <w:t xml:space="preserve"> detailed in Section </w:t>
      </w:r>
      <w:r w:rsidR="00A3785C">
        <w:fldChar w:fldCharType="begin"/>
      </w:r>
      <w:r w:rsidR="00A3785C">
        <w:instrText xml:space="preserve"> REF _Ref349569031 \n \h </w:instrText>
      </w:r>
      <w:r w:rsidR="00A3785C">
        <w:fldChar w:fldCharType="separate"/>
      </w:r>
      <w:r w:rsidR="00324EFC">
        <w:t>4</w:t>
      </w:r>
      <w:r w:rsidR="00A3785C">
        <w:fldChar w:fldCharType="end"/>
      </w:r>
      <w:r w:rsidR="001E36BF">
        <w:t xml:space="preserve"> (</w:t>
      </w:r>
      <w:r w:rsidR="001E36BF">
        <w:fldChar w:fldCharType="begin"/>
      </w:r>
      <w:r w:rsidR="001E36BF">
        <w:instrText xml:space="preserve"> REF _Ref349556563 \h </w:instrText>
      </w:r>
      <w:r w:rsidR="001E36BF">
        <w:fldChar w:fldCharType="separate"/>
      </w:r>
      <w:r w:rsidR="00324EFC">
        <w:t xml:space="preserve">Table </w:t>
      </w:r>
      <w:r w:rsidR="00324EFC">
        <w:rPr>
          <w:noProof/>
        </w:rPr>
        <w:t>1</w:t>
      </w:r>
      <w:r w:rsidR="001E36BF">
        <w:fldChar w:fldCharType="end"/>
      </w:r>
      <w:r w:rsidR="001E36BF">
        <w:t>)</w:t>
      </w:r>
      <w:r w:rsidR="0056386E">
        <w:t>.</w:t>
      </w:r>
    </w:p>
    <w:p w:rsidR="000429A6" w:rsidRDefault="00BF47E9" w:rsidP="000429A6">
      <w:pPr>
        <w:pStyle w:val="Heading1"/>
      </w:pPr>
      <w:bookmarkStart w:id="1" w:name="_Ref349569031"/>
      <w:r>
        <w:t xml:space="preserve">System </w:t>
      </w:r>
      <w:r w:rsidR="00C93EAF">
        <w:t>Parameters</w:t>
      </w:r>
      <w:bookmarkEnd w:id="1"/>
    </w:p>
    <w:p w:rsidR="007F3501" w:rsidRDefault="007F3501" w:rsidP="007F3501">
      <w:pPr>
        <w:pStyle w:val="Heading2"/>
      </w:pPr>
      <w:r>
        <w:t>Signal Coupling into OFS</w:t>
      </w:r>
    </w:p>
    <w:p w:rsidR="0081595F" w:rsidRPr="00274112" w:rsidRDefault="00C36BBE" w:rsidP="002E31E1">
      <w:pPr>
        <w:ind w:firstLine="576"/>
      </w:pPr>
      <w:r>
        <w:t>The OFS</w:t>
      </w:r>
      <w:r w:rsidR="0009368A">
        <w:t xml:space="preserve"> will be</w:t>
      </w:r>
      <w:r w:rsidR="00915FFF">
        <w:t xml:space="preserve"> AC-c</w:t>
      </w:r>
      <w:r>
        <w:t>oupled</w:t>
      </w:r>
      <w:r w:rsidR="007633C0">
        <w:t xml:space="preserve"> with a coupling frequency of 1</w:t>
      </w:r>
      <w:r w:rsidR="00243708">
        <w:t>-</w:t>
      </w:r>
      <w:r w:rsidR="007633C0">
        <w:t>Hz</w:t>
      </w:r>
      <w:r>
        <w:t>.</w:t>
      </w:r>
      <w:r w:rsidR="00500BFF">
        <w:t xml:space="preserve"> The coupling</w:t>
      </w:r>
      <w:r w:rsidR="00031A30">
        <w:t xml:space="preserve"> of the reference excitation</w:t>
      </w:r>
      <w:r w:rsidR="00500BFF">
        <w:t xml:space="preserve"> is done at th</w:t>
      </w:r>
      <w:r w:rsidR="00392D42">
        <w:t xml:space="preserve">e error point of the servo loop and the </w:t>
      </w:r>
      <w:r w:rsidR="00A7254A">
        <w:t>waveform</w:t>
      </w:r>
      <w:r w:rsidR="00392D42">
        <w:t xml:space="preserve"> </w:t>
      </w:r>
      <w:r w:rsidR="00377567">
        <w:t>parameters</w:t>
      </w:r>
      <w:r w:rsidR="00FB1B73">
        <w:t xml:space="preserve"> (amplitude,</w:t>
      </w:r>
      <w:r w:rsidR="008D217E">
        <w:t xml:space="preserve"> </w:t>
      </w:r>
      <w:r w:rsidR="00FB1B73">
        <w:t xml:space="preserve">frequency, </w:t>
      </w:r>
      <w:r w:rsidR="00B266A4">
        <w:t>and phase</w:t>
      </w:r>
      <w:r w:rsidR="00FB1B73">
        <w:t>)</w:t>
      </w:r>
      <w:r w:rsidR="00392D42">
        <w:t xml:space="preserve"> are controlled through the MEDM-Pcal controls.</w:t>
      </w:r>
    </w:p>
    <w:p w:rsidR="00DC15FF" w:rsidRDefault="00840A99" w:rsidP="00DC15FF">
      <w:pPr>
        <w:pStyle w:val="Heading2"/>
      </w:pPr>
      <w:r>
        <w:t>Gain Parameters</w:t>
      </w:r>
    </w:p>
    <w:p w:rsidR="0089380F" w:rsidRDefault="00142089" w:rsidP="00BF70D8">
      <w:pPr>
        <w:ind w:firstLine="576"/>
      </w:pPr>
      <w:r>
        <w:t>A conservative</w:t>
      </w:r>
      <w:r w:rsidR="00E42C70">
        <w:t xml:space="preserve"> approximation of the </w:t>
      </w:r>
      <w:r w:rsidR="000D05CE">
        <w:t xml:space="preserve">expected </w:t>
      </w:r>
      <w:r w:rsidR="00E42C70">
        <w:t>gain parameters is given in</w:t>
      </w:r>
      <w:r w:rsidR="001F02E3">
        <w:t xml:space="preserve"> </w:t>
      </w:r>
      <w:fldSimple w:instr=" REF _Ref349556563 ">
        <w:r w:rsidR="00324EFC">
          <w:t xml:space="preserve">Table </w:t>
        </w:r>
        <w:r w:rsidR="00324EFC">
          <w:rPr>
            <w:noProof/>
          </w:rPr>
          <w:t>1</w:t>
        </w:r>
      </w:fldSimple>
      <w:r w:rsidR="00E42C70">
        <w:t>.</w:t>
      </w:r>
      <w:r w:rsidR="006E1D0A">
        <w:t xml:space="preserve"> </w:t>
      </w:r>
    </w:p>
    <w:p w:rsidR="00AB3FDC" w:rsidRDefault="00AB3FDC" w:rsidP="00BF70D8">
      <w:pPr>
        <w:ind w:firstLine="576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2"/>
        <w:gridCol w:w="3340"/>
        <w:gridCol w:w="2318"/>
      </w:tblGrid>
      <w:tr w:rsidR="00E42C70" w:rsidTr="00914CBA">
        <w:trPr>
          <w:trHeight w:val="320"/>
          <w:jc w:val="center"/>
        </w:trPr>
        <w:tc>
          <w:tcPr>
            <w:tcW w:w="2262" w:type="dxa"/>
          </w:tcPr>
          <w:p w:rsidR="00E42C70" w:rsidRPr="00D838AD" w:rsidRDefault="001D16D3" w:rsidP="006E1D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42C70" w:rsidRPr="00D838AD">
              <w:rPr>
                <w:b/>
                <w:sz w:val="20"/>
              </w:rPr>
              <w:t>Parameter</w:t>
            </w:r>
          </w:p>
        </w:tc>
        <w:tc>
          <w:tcPr>
            <w:tcW w:w="3340" w:type="dxa"/>
          </w:tcPr>
          <w:p w:rsidR="00E42C70" w:rsidRPr="00D838AD" w:rsidRDefault="00E42C70" w:rsidP="006E1D0A">
            <w:pPr>
              <w:jc w:val="center"/>
              <w:rPr>
                <w:b/>
                <w:sz w:val="20"/>
              </w:rPr>
            </w:pPr>
            <w:r w:rsidRPr="00D838AD">
              <w:rPr>
                <w:b/>
                <w:sz w:val="20"/>
              </w:rPr>
              <w:t>Value</w:t>
            </w:r>
          </w:p>
        </w:tc>
        <w:tc>
          <w:tcPr>
            <w:tcW w:w="2318" w:type="dxa"/>
          </w:tcPr>
          <w:p w:rsidR="00E42C70" w:rsidRPr="00D838AD" w:rsidRDefault="00E42C70" w:rsidP="006E1D0A">
            <w:pPr>
              <w:jc w:val="center"/>
              <w:rPr>
                <w:b/>
                <w:sz w:val="20"/>
              </w:rPr>
            </w:pPr>
            <w:r w:rsidRPr="00D838AD">
              <w:rPr>
                <w:b/>
                <w:sz w:val="20"/>
              </w:rPr>
              <w:t>Units</w:t>
            </w:r>
          </w:p>
        </w:tc>
      </w:tr>
      <w:tr w:rsidR="008D362E" w:rsidTr="00914CBA">
        <w:trPr>
          <w:trHeight w:val="339"/>
          <w:jc w:val="center"/>
        </w:trPr>
        <w:tc>
          <w:tcPr>
            <w:tcW w:w="2262" w:type="dxa"/>
          </w:tcPr>
          <w:p w:rsidR="008D362E" w:rsidRPr="00D838AD" w:rsidRDefault="008D362E" w:rsidP="006E1D0A">
            <w:pPr>
              <w:jc w:val="center"/>
              <w:rPr>
                <w:i/>
                <w:sz w:val="20"/>
              </w:rPr>
            </w:pPr>
            <w:r w:rsidRPr="00D838AD">
              <w:rPr>
                <w:i/>
                <w:sz w:val="20"/>
              </w:rPr>
              <w:t>A</w:t>
            </w:r>
          </w:p>
        </w:tc>
        <w:tc>
          <w:tcPr>
            <w:tcW w:w="3340" w:type="dxa"/>
          </w:tcPr>
          <w:p w:rsidR="008D362E" w:rsidRPr="00D838AD" w:rsidRDefault="008D362E" w:rsidP="006E1D0A">
            <w:pPr>
              <w:jc w:val="center"/>
              <w:rPr>
                <w:sz w:val="20"/>
              </w:rPr>
            </w:pPr>
            <w:r w:rsidRPr="00D838AD">
              <w:rPr>
                <w:sz w:val="20"/>
              </w:rPr>
              <w:t>0.5</w:t>
            </w:r>
          </w:p>
        </w:tc>
        <w:tc>
          <w:tcPr>
            <w:tcW w:w="2318" w:type="dxa"/>
          </w:tcPr>
          <w:p w:rsidR="008D362E" w:rsidRPr="00D838AD" w:rsidRDefault="008D362E" w:rsidP="006E1D0A">
            <w:pPr>
              <w:jc w:val="center"/>
              <w:rPr>
                <w:i/>
                <w:sz w:val="20"/>
              </w:rPr>
            </w:pPr>
            <w:r w:rsidRPr="00D838AD">
              <w:rPr>
                <w:i/>
                <w:sz w:val="20"/>
              </w:rPr>
              <w:t>W/V</w:t>
            </w:r>
          </w:p>
        </w:tc>
      </w:tr>
      <w:tr w:rsidR="00E42C70" w:rsidTr="00914CBA">
        <w:trPr>
          <w:trHeight w:val="339"/>
          <w:jc w:val="center"/>
        </w:trPr>
        <w:tc>
          <w:tcPr>
            <w:tcW w:w="2262" w:type="dxa"/>
          </w:tcPr>
          <w:p w:rsidR="00E42C70" w:rsidRPr="00D838AD" w:rsidRDefault="00E42C70" w:rsidP="006E1D0A">
            <w:pPr>
              <w:jc w:val="center"/>
              <w:rPr>
                <w:i/>
                <w:sz w:val="20"/>
              </w:rPr>
            </w:pPr>
            <w:r w:rsidRPr="00D838AD">
              <w:rPr>
                <w:i/>
                <w:sz w:val="20"/>
              </w:rPr>
              <w:t>G</w:t>
            </w:r>
            <w:r w:rsidRPr="00D838AD">
              <w:rPr>
                <w:i/>
                <w:sz w:val="20"/>
                <w:vertAlign w:val="subscript"/>
              </w:rPr>
              <w:t>1</w:t>
            </w:r>
          </w:p>
        </w:tc>
        <w:tc>
          <w:tcPr>
            <w:tcW w:w="3340" w:type="dxa"/>
          </w:tcPr>
          <w:p w:rsidR="00E42C70" w:rsidRPr="00D838AD" w:rsidRDefault="008D362E" w:rsidP="006E1D0A">
            <w:pPr>
              <w:jc w:val="center"/>
              <w:rPr>
                <w:sz w:val="20"/>
              </w:rPr>
            </w:pPr>
            <w:r w:rsidRPr="00D838AD">
              <w:rPr>
                <w:sz w:val="20"/>
              </w:rPr>
              <w:t>10-100</w:t>
            </w:r>
            <w:r w:rsidR="00A31BCA" w:rsidRPr="00D838AD">
              <w:rPr>
                <w:sz w:val="20"/>
              </w:rPr>
              <w:t xml:space="preserve"> (20-40)</w:t>
            </w:r>
          </w:p>
        </w:tc>
        <w:tc>
          <w:tcPr>
            <w:tcW w:w="2318" w:type="dxa"/>
          </w:tcPr>
          <w:p w:rsidR="00E42C70" w:rsidRPr="00D838AD" w:rsidRDefault="008D362E" w:rsidP="006E1D0A">
            <w:pPr>
              <w:jc w:val="center"/>
              <w:rPr>
                <w:i/>
                <w:sz w:val="20"/>
              </w:rPr>
            </w:pPr>
            <w:r w:rsidRPr="00D838AD">
              <w:rPr>
                <w:i/>
                <w:sz w:val="20"/>
              </w:rPr>
              <w:t>V/V</w:t>
            </w:r>
            <w:r w:rsidR="00A31BCA" w:rsidRPr="00D838AD">
              <w:rPr>
                <w:i/>
                <w:sz w:val="20"/>
              </w:rPr>
              <w:t>(dB)</w:t>
            </w:r>
          </w:p>
        </w:tc>
      </w:tr>
      <w:tr w:rsidR="00E42C70" w:rsidTr="00914CBA">
        <w:trPr>
          <w:trHeight w:val="339"/>
          <w:jc w:val="center"/>
        </w:trPr>
        <w:tc>
          <w:tcPr>
            <w:tcW w:w="2262" w:type="dxa"/>
          </w:tcPr>
          <w:p w:rsidR="00E42C70" w:rsidRPr="00D838AD" w:rsidRDefault="00E42C70" w:rsidP="006E1D0A">
            <w:pPr>
              <w:jc w:val="center"/>
              <w:rPr>
                <w:i/>
                <w:sz w:val="20"/>
              </w:rPr>
            </w:pPr>
            <w:r w:rsidRPr="00D838AD">
              <w:rPr>
                <w:i/>
                <w:sz w:val="20"/>
              </w:rPr>
              <w:t>G</w:t>
            </w:r>
            <w:r w:rsidRPr="00D838AD">
              <w:rPr>
                <w:i/>
                <w:sz w:val="20"/>
                <w:vertAlign w:val="subscript"/>
              </w:rPr>
              <w:t>2</w:t>
            </w:r>
          </w:p>
        </w:tc>
        <w:tc>
          <w:tcPr>
            <w:tcW w:w="3340" w:type="dxa"/>
          </w:tcPr>
          <w:p w:rsidR="00E42C70" w:rsidRPr="00D838AD" w:rsidRDefault="00AD373D" w:rsidP="000810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~2</w:t>
            </w:r>
            <w:r w:rsidR="00A25C43">
              <w:rPr>
                <w:sz w:val="20"/>
              </w:rPr>
              <w:t>(6)</w:t>
            </w:r>
          </w:p>
        </w:tc>
        <w:tc>
          <w:tcPr>
            <w:tcW w:w="2318" w:type="dxa"/>
          </w:tcPr>
          <w:p w:rsidR="00E42C70" w:rsidRPr="00D838AD" w:rsidRDefault="008D362E" w:rsidP="006E1D0A">
            <w:pPr>
              <w:jc w:val="center"/>
              <w:rPr>
                <w:i/>
                <w:sz w:val="20"/>
              </w:rPr>
            </w:pPr>
            <w:r w:rsidRPr="00D838AD">
              <w:rPr>
                <w:i/>
                <w:sz w:val="20"/>
              </w:rPr>
              <w:t>V/V</w:t>
            </w:r>
            <w:r w:rsidR="00277108" w:rsidRPr="00D838AD">
              <w:rPr>
                <w:i/>
                <w:sz w:val="20"/>
              </w:rPr>
              <w:t>(dB)</w:t>
            </w:r>
          </w:p>
        </w:tc>
      </w:tr>
      <w:tr w:rsidR="00E42C70" w:rsidTr="00914CBA">
        <w:trPr>
          <w:trHeight w:val="339"/>
          <w:jc w:val="center"/>
        </w:trPr>
        <w:tc>
          <w:tcPr>
            <w:tcW w:w="2262" w:type="dxa"/>
          </w:tcPr>
          <w:p w:rsidR="00E42C70" w:rsidRPr="00D838AD" w:rsidRDefault="00E42C70" w:rsidP="006E1D0A">
            <w:pPr>
              <w:jc w:val="center"/>
              <w:rPr>
                <w:i/>
                <w:sz w:val="20"/>
              </w:rPr>
            </w:pPr>
            <w:r w:rsidRPr="00D838AD">
              <w:rPr>
                <w:i/>
                <w:sz w:val="20"/>
              </w:rPr>
              <w:t>K</w:t>
            </w:r>
            <w:r w:rsidR="00613B17" w:rsidRPr="00D838AD">
              <w:rPr>
                <w:i/>
                <w:sz w:val="20"/>
              </w:rPr>
              <w:t xml:space="preserve"> S</w:t>
            </w:r>
          </w:p>
        </w:tc>
        <w:tc>
          <w:tcPr>
            <w:tcW w:w="3340" w:type="dxa"/>
          </w:tcPr>
          <w:p w:rsidR="00E42C70" w:rsidRPr="00D838AD" w:rsidRDefault="00613B17" w:rsidP="006E1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2318" w:type="dxa"/>
          </w:tcPr>
          <w:p w:rsidR="00E42C70" w:rsidRPr="00D838AD" w:rsidRDefault="00613B17" w:rsidP="006E1D0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V/W</w:t>
            </w:r>
          </w:p>
        </w:tc>
      </w:tr>
    </w:tbl>
    <w:p w:rsidR="00E42C70" w:rsidRDefault="008A46BF" w:rsidP="008A46BF">
      <w:pPr>
        <w:pStyle w:val="Caption"/>
        <w:jc w:val="center"/>
      </w:pPr>
      <w:bookmarkStart w:id="2" w:name="_Ref349556563"/>
      <w:r>
        <w:t xml:space="preserve">Table </w:t>
      </w:r>
      <w:fldSimple w:instr=" SEQ Table \* ARABIC ">
        <w:r w:rsidR="00324EFC">
          <w:rPr>
            <w:noProof/>
          </w:rPr>
          <w:t>1</w:t>
        </w:r>
      </w:fldSimple>
      <w:bookmarkEnd w:id="2"/>
      <w:r>
        <w:t>:</w:t>
      </w:r>
      <w:r w:rsidR="00862D43">
        <w:t xml:space="preserve"> Transfer Function Values of </w:t>
      </w:r>
      <w:r w:rsidR="0034101B">
        <w:t xml:space="preserve">Elements </w:t>
      </w:r>
      <w:r w:rsidR="00862D43">
        <w:t>in Optical Follower Servo</w:t>
      </w:r>
    </w:p>
    <w:p w:rsidR="009236E0" w:rsidRPr="009236E0" w:rsidRDefault="009236E0" w:rsidP="009236E0"/>
    <w:p w:rsidR="002F6712" w:rsidRDefault="004D50C2" w:rsidP="00DA0129">
      <w:r>
        <w:t xml:space="preserve">The product </w:t>
      </w:r>
      <w:r w:rsidRPr="00566DAB">
        <w:rPr>
          <w:i/>
        </w:rPr>
        <w:t>KS</w:t>
      </w:r>
      <w:r>
        <w:t xml:space="preserve">, which includes the transimpedance gain of the sensor and the amount of light picked-off, is estimated to be around 0.5V/W. </w:t>
      </w:r>
      <w:r w:rsidR="008547FB">
        <w:t>Furthermore, t</w:t>
      </w:r>
      <w:r w:rsidR="009506E6">
        <w:t>he value of G</w:t>
      </w:r>
      <w:r w:rsidR="009506E6" w:rsidRPr="008C74AE">
        <w:rPr>
          <w:vertAlign w:val="subscript"/>
        </w:rPr>
        <w:t>2</w:t>
      </w:r>
      <w:r w:rsidR="00D31281">
        <w:t xml:space="preserve"> can</w:t>
      </w:r>
      <w:r w:rsidR="00AB3FDC">
        <w:t xml:space="preserve"> be</w:t>
      </w:r>
      <w:r w:rsidR="00D31281">
        <w:t xml:space="preserve"> </w:t>
      </w:r>
      <w:r w:rsidR="002A2152">
        <w:t>selected</w:t>
      </w:r>
      <w:r w:rsidR="00702D20">
        <w:t xml:space="preserve"> </w:t>
      </w:r>
      <w:r w:rsidR="00CB0237">
        <w:t xml:space="preserve">such </w:t>
      </w:r>
      <w:r w:rsidR="00E7676E">
        <w:t xml:space="preserve">that </w:t>
      </w:r>
      <w:r w:rsidR="002D37A9">
        <w:t xml:space="preserve">the product </w:t>
      </w:r>
      <w:r w:rsidR="005256AC">
        <w:rPr>
          <w:i/>
        </w:rPr>
        <w:t>KS</w:t>
      </w:r>
      <w:r w:rsidR="002D37A9" w:rsidRPr="002D37A9">
        <w:rPr>
          <w:i/>
        </w:rPr>
        <w:t>G</w:t>
      </w:r>
      <w:r w:rsidR="002D37A9" w:rsidRPr="002D37A9">
        <w:rPr>
          <w:i/>
          <w:vertAlign w:val="subscript"/>
        </w:rPr>
        <w:t>2</w:t>
      </w:r>
      <w:r w:rsidR="002D37A9">
        <w:t xml:space="preserve"> ≈1</w:t>
      </w:r>
      <w:r w:rsidR="00742EE8">
        <w:t>.</w:t>
      </w:r>
      <w:r w:rsidR="00E7676E">
        <w:t xml:space="preserve"> If this is the case,</w:t>
      </w:r>
      <w:r w:rsidR="009B4C43">
        <w:t xml:space="preserve"> then our transfer function</w:t>
      </w:r>
      <w:r w:rsidR="00647789">
        <w:t xml:space="preserve"> becomes</w:t>
      </w:r>
    </w:p>
    <w:p w:rsidR="0098758B" w:rsidRDefault="00121BDA" w:rsidP="00647789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AG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1+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AG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</m:oMath>
      </m:oMathPara>
    </w:p>
    <w:p w:rsidR="00647789" w:rsidRDefault="00B25F9D" w:rsidP="00DC15FF">
      <w:r>
        <w:t xml:space="preserve">The servo is </w:t>
      </w:r>
      <w:r w:rsidR="00680631">
        <w:t>then</w:t>
      </w:r>
      <w:r w:rsidR="007D267E">
        <w:t xml:space="preserve"> </w:t>
      </w:r>
      <w:r>
        <w:t>dependent on the variable gain G</w:t>
      </w:r>
      <w:r w:rsidRPr="007D267E">
        <w:rPr>
          <w:vertAlign w:val="subscript"/>
        </w:rPr>
        <w:t>1</w:t>
      </w:r>
      <w:r>
        <w:t xml:space="preserve"> and the actuator transfer function.</w:t>
      </w:r>
      <w:r w:rsidR="00AB5E0A">
        <w:t xml:space="preserve"> Hence</w:t>
      </w:r>
      <w:r w:rsidR="00FE2672">
        <w:t>, the gain in the feedforward path (G</w:t>
      </w:r>
      <w:r w:rsidR="00FE2672" w:rsidRPr="008C74AE">
        <w:rPr>
          <w:vertAlign w:val="subscript"/>
        </w:rPr>
        <w:t>1</w:t>
      </w:r>
      <w:r w:rsidR="00FE2672">
        <w:t xml:space="preserve">) </w:t>
      </w:r>
      <w:r w:rsidR="00000A5D">
        <w:t>can be</w:t>
      </w:r>
      <w:r w:rsidR="00FE2672">
        <w:t xml:space="preserve"> adjusted</w:t>
      </w:r>
      <w:r w:rsidR="005176DC">
        <w:t xml:space="preserve"> to achieve the </w:t>
      </w:r>
      <w:r w:rsidR="00FE2672">
        <w:t>desired</w:t>
      </w:r>
      <w:r w:rsidR="00655166">
        <w:t xml:space="preserve"> servo</w:t>
      </w:r>
      <w:r w:rsidR="00FE2672">
        <w:t xml:space="preserve"> performance.</w:t>
      </w:r>
    </w:p>
    <w:p w:rsidR="00D56894" w:rsidRDefault="00D56894" w:rsidP="00D56894">
      <w:pPr>
        <w:pStyle w:val="Heading2"/>
      </w:pPr>
      <w:r>
        <w:t>Servo Bandwidth</w:t>
      </w:r>
    </w:p>
    <w:p w:rsidR="00D56894" w:rsidRDefault="00BB3AEA" w:rsidP="00242EBF">
      <w:pPr>
        <w:ind w:firstLine="720"/>
      </w:pPr>
      <w:r>
        <w:t xml:space="preserve">The highest frequency that the Pcal will be operated at </w:t>
      </w:r>
      <w:r w:rsidR="00BC3E2D">
        <w:t>is expected to be</w:t>
      </w:r>
      <w:r>
        <w:t xml:space="preserve"> 10 kHz. Our servo bandwidth should be greate</w:t>
      </w:r>
      <w:r w:rsidR="00362A92">
        <w:t>r than this operating frequency with a suggested gain of</w:t>
      </w:r>
      <w:r w:rsidR="00D56894">
        <w:t xml:space="preserve"> 20dB for frequencies up to 100 kHz (UGF of 1MHz). </w:t>
      </w:r>
    </w:p>
    <w:p w:rsidR="000F2F1D" w:rsidRDefault="000F2F1D" w:rsidP="000F2F1D">
      <w:pPr>
        <w:pStyle w:val="Heading2"/>
      </w:pPr>
      <w:r>
        <w:t xml:space="preserve">Actuator </w:t>
      </w:r>
      <w:r w:rsidR="00C30830">
        <w:t>(AOM)</w:t>
      </w:r>
    </w:p>
    <w:p w:rsidR="000F2F1D" w:rsidRDefault="00E96CEA" w:rsidP="0013239A">
      <w:pPr>
        <w:ind w:firstLine="576"/>
      </w:pPr>
      <w:r>
        <w:t xml:space="preserve">The actuator for the OFS is an </w:t>
      </w:r>
      <w:hyperlink r:id="rId14" w:history="1">
        <w:r w:rsidRPr="0029394B">
          <w:rPr>
            <w:rStyle w:val="Hyperlink"/>
          </w:rPr>
          <w:t xml:space="preserve">ISOMET </w:t>
        </w:r>
        <w:r w:rsidR="00D01758" w:rsidRPr="0029394B">
          <w:rPr>
            <w:rStyle w:val="Hyperlink"/>
          </w:rPr>
          <w:t>1205-C-2</w:t>
        </w:r>
      </w:hyperlink>
      <w:r w:rsidR="00D01758">
        <w:t xml:space="preserve"> </w:t>
      </w:r>
      <w:r w:rsidR="00B63097">
        <w:t xml:space="preserve">series acousto-optic modulator operating at 80MHz RF drive. </w:t>
      </w:r>
      <w:r w:rsidR="00D01758">
        <w:t>The nominal modulation bandwidth</w:t>
      </w:r>
      <w:r w:rsidR="00023DF7" w:rsidRPr="00023DF7">
        <w:t xml:space="preserve"> </w:t>
      </w:r>
      <w:r w:rsidR="00023DF7">
        <w:t>is approximately 6 MHz</w:t>
      </w:r>
      <w:r w:rsidR="002418BC">
        <w:t>,</w:t>
      </w:r>
      <w:r w:rsidR="00923F06">
        <w:t xml:space="preserve"> for a </w:t>
      </w:r>
      <w:r w:rsidR="00406E6C">
        <w:t>spot size</w:t>
      </w:r>
      <w:r w:rsidR="000071C4">
        <w:t xml:space="preserve"> (radius)</w:t>
      </w:r>
      <w:r w:rsidR="00406E6C">
        <w:t xml:space="preserve"> </w:t>
      </w:r>
      <w:r w:rsidR="00923F06">
        <w:t xml:space="preserve">of 156µm </w:t>
      </w:r>
      <w:r w:rsidR="002418BC">
        <w:t>and a modulation depth β</w:t>
      </w:r>
      <w:r w:rsidR="00E24510">
        <w:t>=0.5.</w:t>
      </w:r>
    </w:p>
    <w:p w:rsidR="00DC15FF" w:rsidRPr="001D0A49" w:rsidRDefault="00DC15FF" w:rsidP="00DC15FF">
      <w:pPr>
        <w:pStyle w:val="Heading2"/>
      </w:pPr>
      <w:r>
        <w:t>Open-Loop Implementation</w:t>
      </w:r>
    </w:p>
    <w:p w:rsidR="00DC15FF" w:rsidRDefault="00362553" w:rsidP="0013239A">
      <w:pPr>
        <w:ind w:firstLine="576"/>
      </w:pPr>
      <w:r>
        <w:t xml:space="preserve">An open-loop implementation of the OFS will be </w:t>
      </w:r>
      <w:r w:rsidR="001C58D7">
        <w:t>realized</w:t>
      </w:r>
      <w:r w:rsidR="0002586C">
        <w:t xml:space="preserve"> as shown in </w:t>
      </w:r>
      <w:r w:rsidR="0002586C">
        <w:fldChar w:fldCharType="begin"/>
      </w:r>
      <w:r w:rsidR="0002586C">
        <w:instrText xml:space="preserve"> REF _Ref349569244 \h </w:instrText>
      </w:r>
      <w:r w:rsidR="0002586C">
        <w:fldChar w:fldCharType="separate"/>
      </w:r>
      <w:r w:rsidR="00324EFC">
        <w:t xml:space="preserve">Figure </w:t>
      </w:r>
      <w:r w:rsidR="00324EFC">
        <w:rPr>
          <w:noProof/>
        </w:rPr>
        <w:t>2</w:t>
      </w:r>
      <w:r w:rsidR="0002586C">
        <w:fldChar w:fldCharType="end"/>
      </w:r>
      <w:r>
        <w:t>. The feedback loop will be broken and the excitation or reference signal will be injected directly to the AOM. The OFS should be able to manage switc</w:t>
      </w:r>
      <w:r w:rsidR="00B07A85">
        <w:t>hing between an open and closed-</w:t>
      </w:r>
      <w:r>
        <w:t>loop configuration</w:t>
      </w:r>
      <w:r w:rsidR="008943CF">
        <w:t xml:space="preserve"> depending on the desired operation of the Pcal.</w:t>
      </w:r>
      <w:r w:rsidR="00EA4130">
        <w:t xml:space="preserve"> Additional connections may be required in the current setup to fulfill both </w:t>
      </w:r>
      <w:r w:rsidR="00B66553">
        <w:t>implementation</w:t>
      </w:r>
      <w:r w:rsidR="00836995">
        <w:t xml:space="preserve"> modes of the Pcal.</w:t>
      </w:r>
    </w:p>
    <w:p w:rsidR="00FA532C" w:rsidRDefault="00B0579C" w:rsidP="00FA532C">
      <w:pPr>
        <w:keepNext/>
        <w:jc w:val="center"/>
      </w:pPr>
      <w:r>
        <w:rPr>
          <w:noProof/>
        </w:rPr>
        <w:t xml:space="preserve">   </w:t>
      </w:r>
      <w:r w:rsidR="00F4320E">
        <w:rPr>
          <w:noProof/>
        </w:rPr>
        <w:t xml:space="preserve">     </w:t>
      </w:r>
      <w:r w:rsidR="00362553">
        <w:rPr>
          <w:noProof/>
        </w:rPr>
        <w:drawing>
          <wp:inline distT="0" distB="0" distL="0" distR="0" wp14:anchorId="4C6150C1" wp14:editId="4C63E910">
            <wp:extent cx="3221665" cy="102727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-OpenLoop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936" cy="102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A5" w:rsidRDefault="00FA532C" w:rsidP="00437D70">
      <w:pPr>
        <w:pStyle w:val="Caption"/>
        <w:jc w:val="center"/>
      </w:pPr>
      <w:bookmarkStart w:id="3" w:name="_Ref349569244"/>
      <w:r>
        <w:t xml:space="preserve">Figure </w:t>
      </w:r>
      <w:fldSimple w:instr=" SEQ Figure \* ARABIC ">
        <w:r w:rsidR="000332BE">
          <w:rPr>
            <w:noProof/>
          </w:rPr>
          <w:t>2</w:t>
        </w:r>
      </w:fldSimple>
      <w:bookmarkEnd w:id="3"/>
      <w:r>
        <w:t>:</w:t>
      </w:r>
      <w:r w:rsidR="005A36DB">
        <w:t xml:space="preserve"> Open-Loop Implementation of OFS.</w:t>
      </w:r>
    </w:p>
    <w:p w:rsidR="00D4784C" w:rsidRDefault="00D4784C" w:rsidP="00D4784C">
      <w:pPr>
        <w:pStyle w:val="Heading1"/>
      </w:pPr>
      <w:r>
        <w:t>Test Points</w:t>
      </w:r>
    </w:p>
    <w:p w:rsidR="00D95804" w:rsidRDefault="00D95804" w:rsidP="00672598">
      <w:pPr>
        <w:ind w:firstLine="540"/>
      </w:pPr>
      <w:r>
        <w:t>The Optical Follower servo should have</w:t>
      </w:r>
      <w:r w:rsidR="006615F0">
        <w:t xml:space="preserve"> </w:t>
      </w:r>
      <w:r>
        <w:t xml:space="preserve">test points in order to </w:t>
      </w:r>
      <w:r w:rsidR="000332BE">
        <w:t>calculate the servo’s closed loop transfer function</w:t>
      </w:r>
      <w:r w:rsidR="00C52C05">
        <w:t xml:space="preserve"> and to monitor possible oscillations in the loop</w:t>
      </w:r>
      <w:bookmarkStart w:id="4" w:name="_GoBack"/>
      <w:bookmarkEnd w:id="4"/>
      <w:r w:rsidR="000332BE">
        <w:t>. Figure</w:t>
      </w:r>
      <w:r w:rsidR="00672598">
        <w:t xml:space="preserve"> </w:t>
      </w:r>
      <w:r w:rsidR="00672598">
        <w:fldChar w:fldCharType="begin"/>
      </w:r>
      <w:r w:rsidR="00672598">
        <w:instrText xml:space="preserve"> REF _Ref358121415 \r \h </w:instrText>
      </w:r>
      <w:r w:rsidR="00672598">
        <w:fldChar w:fldCharType="separate"/>
      </w:r>
      <w:r w:rsidR="00672598">
        <w:t>3</w:t>
      </w:r>
      <w:r w:rsidR="00672598">
        <w:fldChar w:fldCharType="end"/>
      </w:r>
      <w:r w:rsidR="000332BE">
        <w:t xml:space="preserve"> displays the location of those test points</w:t>
      </w:r>
      <w:r w:rsidR="00672598">
        <w:t xml:space="preserve"> on the servo</w:t>
      </w:r>
      <w:r w:rsidR="007E437A">
        <w:t>. They are further discussed in the following subsections.</w:t>
      </w:r>
    </w:p>
    <w:p w:rsidR="000332BE" w:rsidRDefault="000332BE" w:rsidP="000332BE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38336506" wp14:editId="26B76A6D">
            <wp:extent cx="4473650" cy="198828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TestPoint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829" cy="198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BE" w:rsidRDefault="000332BE" w:rsidP="000332BE">
      <w:pPr>
        <w:pStyle w:val="Caption"/>
        <w:jc w:val="center"/>
      </w:pPr>
      <w:r>
        <w:t xml:space="preserve">Figure </w:t>
      </w:r>
      <w:r w:rsidR="00121BDA">
        <w:fldChar w:fldCharType="begin"/>
      </w:r>
      <w:r w:rsidR="00121BDA">
        <w:instrText xml:space="preserve"> SEQ Figure \* ARABIC </w:instrText>
      </w:r>
      <w:r w:rsidR="00121BDA">
        <w:fldChar w:fldCharType="separate"/>
      </w:r>
      <w:r>
        <w:rPr>
          <w:noProof/>
        </w:rPr>
        <w:t>3</w:t>
      </w:r>
      <w:r w:rsidR="00121BDA">
        <w:rPr>
          <w:noProof/>
        </w:rPr>
        <w:fldChar w:fldCharType="end"/>
      </w:r>
      <w:r>
        <w:t>:</w:t>
      </w:r>
      <w:r w:rsidR="007A42A1">
        <w:t xml:space="preserve"> Location of Test Points in the OFS</w:t>
      </w:r>
    </w:p>
    <w:p w:rsidR="00A21BD0" w:rsidRPr="00A21BD0" w:rsidRDefault="00A21BD0" w:rsidP="00A21BD0"/>
    <w:p w:rsidR="00B0002F" w:rsidRPr="001D0A49" w:rsidRDefault="00B0002F" w:rsidP="00B0002F">
      <w:pPr>
        <w:pStyle w:val="Heading2"/>
      </w:pPr>
      <w:r>
        <w:t xml:space="preserve">Error </w:t>
      </w:r>
      <w:r w:rsidR="00F82556">
        <w:t xml:space="preserve">Point </w:t>
      </w:r>
      <w:r>
        <w:t>Monitor</w:t>
      </w:r>
    </w:p>
    <w:p w:rsidR="006615F0" w:rsidRPr="00D97AA7" w:rsidRDefault="00A21BD0" w:rsidP="00C52C05">
      <w:pPr>
        <w:ind w:firstLine="432"/>
      </w:pPr>
      <w:r>
        <w:t xml:space="preserve">A monitoring output at the error point allows </w:t>
      </w:r>
      <w:r w:rsidR="00DE113D">
        <w:t>monitoring</w:t>
      </w:r>
      <w:r w:rsidR="006631EB">
        <w:t xml:space="preserve"> the value of the error signal, namely, the difference</w:t>
      </w:r>
      <w:r w:rsidR="004045D7">
        <w:t xml:space="preserve"> </w:t>
      </w:r>
      <w:r w:rsidR="006631EB">
        <w:t xml:space="preserve">between the reference input and the </w:t>
      </w:r>
      <w:r w:rsidR="00B76454">
        <w:t>feedback signal</w:t>
      </w:r>
      <w:r w:rsidR="00DE113D">
        <w:t xml:space="preserve"> (ideally zero)</w:t>
      </w:r>
      <w:r w:rsidR="00B76454">
        <w:t>.</w:t>
      </w:r>
    </w:p>
    <w:p w:rsidR="00616AEC" w:rsidRPr="001D0A49" w:rsidRDefault="00616AEC" w:rsidP="00616AEC">
      <w:pPr>
        <w:pStyle w:val="Heading2"/>
      </w:pPr>
      <w:r>
        <w:t>Oscillation Monitor</w:t>
      </w:r>
    </w:p>
    <w:p w:rsidR="00757742" w:rsidRDefault="00A04FF5" w:rsidP="006615F0">
      <w:pPr>
        <w:ind w:firstLine="432"/>
      </w:pPr>
      <w:r>
        <w:t xml:space="preserve">An oscillation monitor can be included between </w:t>
      </w:r>
      <w:r w:rsidRPr="00B26726">
        <w:rPr>
          <w:i/>
        </w:rPr>
        <w:t>G</w:t>
      </w:r>
      <w:r w:rsidRPr="00B26726">
        <w:rPr>
          <w:i/>
          <w:vertAlign w:val="subscript"/>
        </w:rPr>
        <w:t>1</w:t>
      </w:r>
      <w:r>
        <w:t xml:space="preserve"> and </w:t>
      </w:r>
      <w:r w:rsidRPr="00B26726">
        <w:rPr>
          <w:i/>
        </w:rPr>
        <w:t>A</w:t>
      </w:r>
      <w:r>
        <w:t xml:space="preserve"> to </w:t>
      </w:r>
      <w:r w:rsidR="006A0E34">
        <w:t>monitor the overall</w:t>
      </w:r>
      <w:r>
        <w:t xml:space="preserve"> performance of the servo.</w:t>
      </w:r>
      <w:r w:rsidR="00C911E6">
        <w:t xml:space="preserve"> The </w:t>
      </w:r>
      <w:r w:rsidR="00C911E6" w:rsidRPr="0065342E">
        <w:rPr>
          <w:i/>
        </w:rPr>
        <w:t>os</w:t>
      </w:r>
      <w:r w:rsidR="00FF4BCD" w:rsidRPr="0065342E">
        <w:rPr>
          <w:i/>
        </w:rPr>
        <w:t>cillation monit</w:t>
      </w:r>
      <w:r w:rsidR="00A56187" w:rsidRPr="0065342E">
        <w:rPr>
          <w:i/>
        </w:rPr>
        <w:t>or</w:t>
      </w:r>
      <w:r w:rsidR="00A56187">
        <w:t xml:space="preserve"> is displayed as an </w:t>
      </w:r>
      <w:r w:rsidR="00FF4BCD">
        <w:t xml:space="preserve">output </w:t>
      </w:r>
      <w:r w:rsidR="00FB213B">
        <w:t>DC value</w:t>
      </w:r>
      <w:r w:rsidR="00871480">
        <w:t xml:space="preserve">. </w:t>
      </w:r>
      <w:r w:rsidR="00C5723E">
        <w:t>A bandpass filter</w:t>
      </w:r>
      <w:r w:rsidR="00932087">
        <w:t xml:space="preserve">, with center frequency at the servo’s </w:t>
      </w:r>
      <w:r w:rsidR="004D158A">
        <w:t>unity gain frequency</w:t>
      </w:r>
      <w:r w:rsidR="00932087">
        <w:t>,</w:t>
      </w:r>
      <w:r w:rsidR="004D158A">
        <w:t xml:space="preserve"> can be added to </w:t>
      </w:r>
      <w:r w:rsidR="00FB213B">
        <w:t>look at the band of interest</w:t>
      </w:r>
      <w:r w:rsidR="00C5723E">
        <w:t xml:space="preserve"> for this readout</w:t>
      </w:r>
      <w:r w:rsidR="00CC55E4">
        <w:t xml:space="preserve"> (~1</w:t>
      </w:r>
      <w:r w:rsidR="00D6634D">
        <w:t>00 k</w:t>
      </w:r>
      <w:r w:rsidR="00CC55E4">
        <w:t>Hz)</w:t>
      </w:r>
      <w:r w:rsidR="00C5723E">
        <w:t>.</w:t>
      </w:r>
    </w:p>
    <w:p w:rsidR="0078280B" w:rsidRPr="001D0A49" w:rsidRDefault="0078280B" w:rsidP="0078280B">
      <w:pPr>
        <w:pStyle w:val="Heading2"/>
      </w:pPr>
      <w:r>
        <w:t>Other Test Points</w:t>
      </w:r>
    </w:p>
    <w:p w:rsidR="0078280B" w:rsidRDefault="0078280B" w:rsidP="0078280B">
      <w:pPr>
        <w:ind w:firstLine="432"/>
      </w:pPr>
      <w:r>
        <w:t xml:space="preserve">A test input is needed in the OFS to perform swept sine measurements and the corresponding closed loop transfer functions. </w:t>
      </w:r>
      <w:r w:rsidR="00662C1B">
        <w:t xml:space="preserve"> </w:t>
      </w:r>
    </w:p>
    <w:p w:rsidR="006615F0" w:rsidRPr="00FA532C" w:rsidRDefault="006615F0" w:rsidP="00662C1B"/>
    <w:p w:rsidR="00406435" w:rsidRDefault="00AE2128" w:rsidP="00406435">
      <w:pPr>
        <w:pStyle w:val="Heading1"/>
      </w:pPr>
      <w:r>
        <w:t>Summary</w:t>
      </w:r>
    </w:p>
    <w:p w:rsidR="00DC15FF" w:rsidRPr="000429A6" w:rsidRDefault="00E52C95" w:rsidP="006A1825">
      <w:pPr>
        <w:ind w:firstLine="432"/>
      </w:pPr>
      <w:r>
        <w:t xml:space="preserve">The Optical Follower Servo </w:t>
      </w:r>
      <w:r w:rsidR="00E54D04">
        <w:t>should be capabl</w:t>
      </w:r>
      <w:r w:rsidR="00374A39">
        <w:t>e</w:t>
      </w:r>
      <w:r>
        <w:t xml:space="preserve"> of reducing the RPN of the free-running Pcal laser </w:t>
      </w:r>
      <w:r w:rsidR="00DB3A33">
        <w:t>by approximately 20dB</w:t>
      </w:r>
      <w:r>
        <w:t>. A prototype has been built</w:t>
      </w:r>
      <w:r w:rsidR="00C16AF9">
        <w:t xml:space="preserve"> as part of a SURF Project (</w:t>
      </w:r>
      <w:hyperlink r:id="rId17" w:history="1">
        <w:r w:rsidR="00660911" w:rsidRPr="00B341AD">
          <w:rPr>
            <w:rStyle w:val="Hyperlink"/>
          </w:rPr>
          <w:t>LIGO-T1100567</w:t>
        </w:r>
      </w:hyperlink>
      <w:r w:rsidR="00C16AF9">
        <w:t>)</w:t>
      </w:r>
      <w:r>
        <w:t xml:space="preserve"> and will be further tested and improved to achieve the maximum harmonic suppression and desired relative power noise.</w:t>
      </w:r>
      <w:r w:rsidR="00374A39">
        <w:t xml:space="preserve"> The design parameters have been presented and an estimate of RPN has been made to </w:t>
      </w:r>
      <w:r w:rsidR="00AA3BF2">
        <w:t>quantify</w:t>
      </w:r>
      <w:r w:rsidR="00374A39">
        <w:t xml:space="preserve"> the overall loop gain needed to achieve the desired noise suppression.</w:t>
      </w:r>
    </w:p>
    <w:p w:rsidR="00D31FE4" w:rsidRPr="00D31FE4" w:rsidRDefault="008A458C" w:rsidP="00D31FE4">
      <w:pPr>
        <w:pStyle w:val="Heading1"/>
      </w:pPr>
      <w:bookmarkStart w:id="5" w:name="_Ref349563511"/>
      <w:r>
        <w:lastRenderedPageBreak/>
        <w:t xml:space="preserve">Appendix 1: </w:t>
      </w:r>
      <w:r w:rsidR="007A5C91">
        <w:t xml:space="preserve">RPN and Harmonic </w:t>
      </w:r>
      <w:r w:rsidR="00EB01A2">
        <w:t>Suppression</w:t>
      </w:r>
      <w:r w:rsidR="007A5C91">
        <w:t xml:space="preserve"> Requirements</w:t>
      </w:r>
      <w:bookmarkEnd w:id="5"/>
    </w:p>
    <w:p w:rsidR="00020883" w:rsidRDefault="00F16BA7" w:rsidP="00B56F34">
      <w:pPr>
        <w:keepNext/>
        <w:jc w:val="center"/>
      </w:pPr>
      <w:r>
        <w:rPr>
          <w:noProof/>
        </w:rPr>
        <w:drawing>
          <wp:inline distT="0" distB="0" distL="0" distR="0" wp14:anchorId="12CF9AA6" wp14:editId="416C82A2">
            <wp:extent cx="4294128" cy="2987748"/>
            <wp:effectExtent l="0" t="0" r="0" b="3175"/>
            <wp:docPr id="3" name="Picture 3" descr="C:\Users\Optics Lab\Desktop\Pcal\LaserSpectrum\BW(1600Hz)\SN08\MaxAllowedRPN(SN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tics Lab\Desktop\Pcal\LaserSpectrum\BW(1600Hz)\SN08\MaxAllowedRPN(SN0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"/>
                    <a:stretch/>
                  </pic:blipFill>
                  <pic:spPr bwMode="auto">
                    <a:xfrm>
                      <a:off x="0" y="0"/>
                      <a:ext cx="4305657" cy="29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F75" w:rsidRDefault="00020883" w:rsidP="00DB60EB">
      <w:pPr>
        <w:pStyle w:val="Caption"/>
        <w:jc w:val="center"/>
      </w:pPr>
      <w:r>
        <w:t xml:space="preserve">Figure </w:t>
      </w:r>
      <w:fldSimple w:instr=" SEQ Figure \* ARABIC ">
        <w:r w:rsidR="000332BE">
          <w:rPr>
            <w:noProof/>
          </w:rPr>
          <w:t>4</w:t>
        </w:r>
      </w:fldSimple>
      <w:r w:rsidR="004F7B91">
        <w:t xml:space="preserve">: </w:t>
      </w:r>
      <w:r w:rsidR="006F3FA3">
        <w:t xml:space="preserve">Maximum RPN </w:t>
      </w:r>
      <w:r w:rsidR="00A12A15">
        <w:t>allowed</w:t>
      </w:r>
      <w:r w:rsidR="003B53CC">
        <w:t xml:space="preserve"> for aLIGO.</w:t>
      </w:r>
      <w:r w:rsidR="009E61B0">
        <w:t xml:space="preserve"> </w:t>
      </w:r>
    </w:p>
    <w:p w:rsidR="00A21BD0" w:rsidRPr="00A21BD0" w:rsidRDefault="00A21BD0" w:rsidP="00A21BD0"/>
    <w:p w:rsidR="00B56F34" w:rsidRDefault="007D383B" w:rsidP="00B56F34">
      <w:pPr>
        <w:keepNext/>
        <w:jc w:val="center"/>
      </w:pPr>
      <w:r>
        <w:rPr>
          <w:noProof/>
        </w:rPr>
        <w:t xml:space="preserve">        </w:t>
      </w:r>
      <w:r w:rsidR="00020883">
        <w:rPr>
          <w:noProof/>
        </w:rPr>
        <w:drawing>
          <wp:inline distT="0" distB="0" distL="0" distR="0" wp14:anchorId="7ADC60C2" wp14:editId="7378DF7F">
            <wp:extent cx="4019107" cy="2621371"/>
            <wp:effectExtent l="0" t="0" r="63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monicSupp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092" cy="26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B2" w:rsidRDefault="00B56F34" w:rsidP="00F73441">
      <w:pPr>
        <w:pStyle w:val="Caption"/>
        <w:jc w:val="center"/>
      </w:pPr>
      <w:r>
        <w:t xml:space="preserve">Figure </w:t>
      </w:r>
      <w:fldSimple w:instr=" SEQ Figure \* ARABIC ">
        <w:r w:rsidR="000332BE">
          <w:rPr>
            <w:noProof/>
          </w:rPr>
          <w:t>5</w:t>
        </w:r>
      </w:fldSimple>
      <w:r w:rsidR="00C829FA">
        <w:t>: Sideband to Carrier Suppression Needed in aLIGO</w:t>
      </w:r>
      <w:r w:rsidR="006B49AC">
        <w:t>.</w:t>
      </w:r>
    </w:p>
    <w:p w:rsidR="00813034" w:rsidRDefault="00813034" w:rsidP="00813034"/>
    <w:p w:rsidR="00813034" w:rsidRDefault="00813034" w:rsidP="00813034">
      <w:pPr>
        <w:pStyle w:val="Heading1"/>
      </w:pPr>
      <w:bookmarkStart w:id="6" w:name="_Ref349636012"/>
      <w:r>
        <w:lastRenderedPageBreak/>
        <w:t xml:space="preserve">Appendix 2: </w:t>
      </w:r>
      <w:r w:rsidR="00705447">
        <w:t>Advanced LIGO Anticipated Sensitivity Curves.</w:t>
      </w:r>
      <w:bookmarkEnd w:id="6"/>
    </w:p>
    <w:p w:rsidR="00A81A82" w:rsidRDefault="00307E0A" w:rsidP="00307E0A">
      <w:pPr>
        <w:keepNext/>
        <w:jc w:val="center"/>
      </w:pPr>
      <w:r>
        <w:rPr>
          <w:noProof/>
          <w:szCs w:val="24"/>
        </w:rPr>
        <w:t xml:space="preserve">         </w:t>
      </w:r>
      <w:r w:rsidR="00705447">
        <w:rPr>
          <w:noProof/>
          <w:szCs w:val="24"/>
        </w:rPr>
        <w:drawing>
          <wp:inline distT="0" distB="0" distL="0" distR="0" wp14:anchorId="7F22F010" wp14:editId="7A60896C">
            <wp:extent cx="4040372" cy="2764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55" cy="27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0D" w:rsidRPr="0081760D" w:rsidRDefault="00A81A82" w:rsidP="005839BA">
      <w:pPr>
        <w:pStyle w:val="Caption"/>
        <w:jc w:val="center"/>
      </w:pPr>
      <w:r>
        <w:t xml:space="preserve">Figure </w:t>
      </w:r>
      <w:fldSimple w:instr=" SEQ Figure \* ARABIC ">
        <w:r w:rsidR="000332BE">
          <w:rPr>
            <w:noProof/>
          </w:rPr>
          <w:t>6</w:t>
        </w:r>
      </w:fldSimple>
      <w:r>
        <w:t>: Anticipated Sensitivity Curves for aLIGO (</w:t>
      </w:r>
      <w:hyperlink r:id="rId21" w:history="1">
        <w:r w:rsidRPr="00915FF0">
          <w:rPr>
            <w:rStyle w:val="Hyperlink"/>
          </w:rPr>
          <w:t>LIGO-T0900288</w:t>
        </w:r>
      </w:hyperlink>
      <w:r>
        <w:t>)</w:t>
      </w:r>
    </w:p>
    <w:sectPr w:rsidR="0081760D" w:rsidRPr="0081760D">
      <w:headerReference w:type="default" r:id="rId22"/>
      <w:footerReference w:type="even" r:id="rId23"/>
      <w:footerReference w:type="default" r:id="rId24"/>
      <w:headerReference w:type="first" r:id="rId25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DA" w:rsidRDefault="00121BDA">
      <w:r>
        <w:separator/>
      </w:r>
    </w:p>
  </w:endnote>
  <w:endnote w:type="continuationSeparator" w:id="0">
    <w:p w:rsidR="00121BDA" w:rsidRDefault="0012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4C" w:rsidRDefault="007C08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84C" w:rsidRDefault="007C08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4C" w:rsidRDefault="007C084C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C05">
      <w:rPr>
        <w:rStyle w:val="PageNumber"/>
        <w:noProof/>
      </w:rPr>
      <w:t>4</w:t>
    </w:r>
    <w:r>
      <w:rPr>
        <w:rStyle w:val="PageNumber"/>
      </w:rPr>
      <w:fldChar w:fldCharType="end"/>
    </w:r>
  </w:p>
  <w:p w:rsidR="007C084C" w:rsidRDefault="007C08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DA" w:rsidRDefault="00121BDA">
      <w:r>
        <w:separator/>
      </w:r>
    </w:p>
  </w:footnote>
  <w:footnote w:type="continuationSeparator" w:id="0">
    <w:p w:rsidR="00121BDA" w:rsidRDefault="0012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4C" w:rsidRDefault="007C084C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</w:t>
    </w:r>
    <w:r w:rsidR="002C5960">
      <w:rPr>
        <w:sz w:val="20"/>
      </w:rPr>
      <w:t>300162</w:t>
    </w:r>
    <w:r>
      <w:rPr>
        <w:sz w:val="20"/>
      </w:rPr>
      <w:t>-v</w:t>
    </w:r>
    <w:r w:rsidR="006A3DAE">
      <w:rPr>
        <w:sz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4C" w:rsidRDefault="007C084C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121BD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34320357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0A5D"/>
    <w:rsid w:val="000041B3"/>
    <w:rsid w:val="000071C4"/>
    <w:rsid w:val="00007E50"/>
    <w:rsid w:val="00012A53"/>
    <w:rsid w:val="00020883"/>
    <w:rsid w:val="00021B3F"/>
    <w:rsid w:val="00023DF7"/>
    <w:rsid w:val="0002586C"/>
    <w:rsid w:val="00031A30"/>
    <w:rsid w:val="000332BE"/>
    <w:rsid w:val="000427AB"/>
    <w:rsid w:val="000429A6"/>
    <w:rsid w:val="00045DD6"/>
    <w:rsid w:val="00050932"/>
    <w:rsid w:val="000535CB"/>
    <w:rsid w:val="00060E53"/>
    <w:rsid w:val="000621B0"/>
    <w:rsid w:val="00065AF6"/>
    <w:rsid w:val="0007038D"/>
    <w:rsid w:val="000777C8"/>
    <w:rsid w:val="000810C2"/>
    <w:rsid w:val="00091E3B"/>
    <w:rsid w:val="0009368A"/>
    <w:rsid w:val="000A2069"/>
    <w:rsid w:val="000A6940"/>
    <w:rsid w:val="000A727A"/>
    <w:rsid w:val="000B589F"/>
    <w:rsid w:val="000C36E1"/>
    <w:rsid w:val="000D03A8"/>
    <w:rsid w:val="000D05CE"/>
    <w:rsid w:val="000F16BC"/>
    <w:rsid w:val="000F2F1D"/>
    <w:rsid w:val="000F4FC6"/>
    <w:rsid w:val="000F64AA"/>
    <w:rsid w:val="00103AE4"/>
    <w:rsid w:val="00113CAB"/>
    <w:rsid w:val="00114AAB"/>
    <w:rsid w:val="001176D9"/>
    <w:rsid w:val="00121BDA"/>
    <w:rsid w:val="00124345"/>
    <w:rsid w:val="00124AC4"/>
    <w:rsid w:val="00130F68"/>
    <w:rsid w:val="0013239A"/>
    <w:rsid w:val="00134EA5"/>
    <w:rsid w:val="001359C4"/>
    <w:rsid w:val="0013773D"/>
    <w:rsid w:val="00142089"/>
    <w:rsid w:val="00150073"/>
    <w:rsid w:val="00151FDB"/>
    <w:rsid w:val="0015377A"/>
    <w:rsid w:val="0016355B"/>
    <w:rsid w:val="00172148"/>
    <w:rsid w:val="00186ADD"/>
    <w:rsid w:val="00187CDA"/>
    <w:rsid w:val="00190253"/>
    <w:rsid w:val="00190623"/>
    <w:rsid w:val="00194DE6"/>
    <w:rsid w:val="001A7F0C"/>
    <w:rsid w:val="001B0DE0"/>
    <w:rsid w:val="001B6B11"/>
    <w:rsid w:val="001C58D7"/>
    <w:rsid w:val="001C7593"/>
    <w:rsid w:val="001D0A49"/>
    <w:rsid w:val="001D16D3"/>
    <w:rsid w:val="001D3F9C"/>
    <w:rsid w:val="001D410C"/>
    <w:rsid w:val="001E36BF"/>
    <w:rsid w:val="001E4675"/>
    <w:rsid w:val="001E5D43"/>
    <w:rsid w:val="001E6EA1"/>
    <w:rsid w:val="001F02E3"/>
    <w:rsid w:val="001F153A"/>
    <w:rsid w:val="001F1B21"/>
    <w:rsid w:val="001F637B"/>
    <w:rsid w:val="00203070"/>
    <w:rsid w:val="00211800"/>
    <w:rsid w:val="00216033"/>
    <w:rsid w:val="00227154"/>
    <w:rsid w:val="0023668D"/>
    <w:rsid w:val="002418BC"/>
    <w:rsid w:val="00242BBF"/>
    <w:rsid w:val="00242EBF"/>
    <w:rsid w:val="00243708"/>
    <w:rsid w:val="002516C2"/>
    <w:rsid w:val="00251C27"/>
    <w:rsid w:val="00252891"/>
    <w:rsid w:val="0025464E"/>
    <w:rsid w:val="00257D19"/>
    <w:rsid w:val="00274112"/>
    <w:rsid w:val="00277108"/>
    <w:rsid w:val="00280B60"/>
    <w:rsid w:val="00283012"/>
    <w:rsid w:val="00287AE9"/>
    <w:rsid w:val="0029394B"/>
    <w:rsid w:val="002A2152"/>
    <w:rsid w:val="002A382F"/>
    <w:rsid w:val="002B0085"/>
    <w:rsid w:val="002B57C4"/>
    <w:rsid w:val="002B6050"/>
    <w:rsid w:val="002C09A7"/>
    <w:rsid w:val="002C270E"/>
    <w:rsid w:val="002C4290"/>
    <w:rsid w:val="002C5848"/>
    <w:rsid w:val="002C5960"/>
    <w:rsid w:val="002C60A2"/>
    <w:rsid w:val="002C73D5"/>
    <w:rsid w:val="002D37A9"/>
    <w:rsid w:val="002D5AC5"/>
    <w:rsid w:val="002D5FD8"/>
    <w:rsid w:val="002D72BF"/>
    <w:rsid w:val="002E0958"/>
    <w:rsid w:val="002E31E1"/>
    <w:rsid w:val="002E3BE1"/>
    <w:rsid w:val="002E5C57"/>
    <w:rsid w:val="002F4373"/>
    <w:rsid w:val="002F6712"/>
    <w:rsid w:val="00307E0A"/>
    <w:rsid w:val="00310132"/>
    <w:rsid w:val="0031118F"/>
    <w:rsid w:val="003162A2"/>
    <w:rsid w:val="003171BC"/>
    <w:rsid w:val="00322E1F"/>
    <w:rsid w:val="00324EFC"/>
    <w:rsid w:val="00326805"/>
    <w:rsid w:val="00326CB9"/>
    <w:rsid w:val="003376E0"/>
    <w:rsid w:val="00337F1E"/>
    <w:rsid w:val="00340F2A"/>
    <w:rsid w:val="0034101B"/>
    <w:rsid w:val="00347753"/>
    <w:rsid w:val="00350339"/>
    <w:rsid w:val="00350356"/>
    <w:rsid w:val="00350514"/>
    <w:rsid w:val="0035643C"/>
    <w:rsid w:val="0036226E"/>
    <w:rsid w:val="00362553"/>
    <w:rsid w:val="00362A92"/>
    <w:rsid w:val="00374001"/>
    <w:rsid w:val="00374A39"/>
    <w:rsid w:val="00377567"/>
    <w:rsid w:val="003806A6"/>
    <w:rsid w:val="003839FC"/>
    <w:rsid w:val="00391ED2"/>
    <w:rsid w:val="00392D42"/>
    <w:rsid w:val="00394D77"/>
    <w:rsid w:val="003A0709"/>
    <w:rsid w:val="003A5514"/>
    <w:rsid w:val="003A69A7"/>
    <w:rsid w:val="003B2C9E"/>
    <w:rsid w:val="003B53CC"/>
    <w:rsid w:val="003C1F34"/>
    <w:rsid w:val="003D3696"/>
    <w:rsid w:val="003D6B42"/>
    <w:rsid w:val="003E36AA"/>
    <w:rsid w:val="003E4332"/>
    <w:rsid w:val="003F4B57"/>
    <w:rsid w:val="00401197"/>
    <w:rsid w:val="0040211D"/>
    <w:rsid w:val="004045D7"/>
    <w:rsid w:val="00406435"/>
    <w:rsid w:val="00406E6C"/>
    <w:rsid w:val="00422417"/>
    <w:rsid w:val="00425410"/>
    <w:rsid w:val="00430537"/>
    <w:rsid w:val="00437D70"/>
    <w:rsid w:val="0044209C"/>
    <w:rsid w:val="004607B8"/>
    <w:rsid w:val="00465560"/>
    <w:rsid w:val="00473B2D"/>
    <w:rsid w:val="00483783"/>
    <w:rsid w:val="00484F70"/>
    <w:rsid w:val="00486832"/>
    <w:rsid w:val="00486E81"/>
    <w:rsid w:val="00490BC0"/>
    <w:rsid w:val="004A08F0"/>
    <w:rsid w:val="004B1283"/>
    <w:rsid w:val="004B1E33"/>
    <w:rsid w:val="004D158A"/>
    <w:rsid w:val="004D50C2"/>
    <w:rsid w:val="004D7B5D"/>
    <w:rsid w:val="004E71F6"/>
    <w:rsid w:val="004F10BA"/>
    <w:rsid w:val="004F7B91"/>
    <w:rsid w:val="00500BFF"/>
    <w:rsid w:val="0050782B"/>
    <w:rsid w:val="005176DC"/>
    <w:rsid w:val="005256AC"/>
    <w:rsid w:val="005360DE"/>
    <w:rsid w:val="005414FF"/>
    <w:rsid w:val="0054334E"/>
    <w:rsid w:val="005437E6"/>
    <w:rsid w:val="00546A0D"/>
    <w:rsid w:val="00553352"/>
    <w:rsid w:val="00557E58"/>
    <w:rsid w:val="0056386E"/>
    <w:rsid w:val="00563A05"/>
    <w:rsid w:val="0056625A"/>
    <w:rsid w:val="00566DAB"/>
    <w:rsid w:val="00572768"/>
    <w:rsid w:val="00572B0C"/>
    <w:rsid w:val="00574ED3"/>
    <w:rsid w:val="005839BA"/>
    <w:rsid w:val="00585608"/>
    <w:rsid w:val="005857E2"/>
    <w:rsid w:val="005A0C72"/>
    <w:rsid w:val="005A36DB"/>
    <w:rsid w:val="005A412A"/>
    <w:rsid w:val="005A6864"/>
    <w:rsid w:val="005A6CD8"/>
    <w:rsid w:val="005B5A01"/>
    <w:rsid w:val="005C0618"/>
    <w:rsid w:val="005C5F6E"/>
    <w:rsid w:val="005C6FCD"/>
    <w:rsid w:val="005D3533"/>
    <w:rsid w:val="005E0CA6"/>
    <w:rsid w:val="005E13FE"/>
    <w:rsid w:val="005E5E8D"/>
    <w:rsid w:val="005F3778"/>
    <w:rsid w:val="005F48B2"/>
    <w:rsid w:val="00607E20"/>
    <w:rsid w:val="00610561"/>
    <w:rsid w:val="00613573"/>
    <w:rsid w:val="00613B17"/>
    <w:rsid w:val="00616AEC"/>
    <w:rsid w:val="006207C9"/>
    <w:rsid w:val="006255AF"/>
    <w:rsid w:val="00631253"/>
    <w:rsid w:val="00631A43"/>
    <w:rsid w:val="00641362"/>
    <w:rsid w:val="00642B3D"/>
    <w:rsid w:val="00647789"/>
    <w:rsid w:val="00651D44"/>
    <w:rsid w:val="0065342E"/>
    <w:rsid w:val="00655166"/>
    <w:rsid w:val="00660911"/>
    <w:rsid w:val="006615F0"/>
    <w:rsid w:val="00662292"/>
    <w:rsid w:val="00662C1B"/>
    <w:rsid w:val="006631EB"/>
    <w:rsid w:val="00670115"/>
    <w:rsid w:val="006717A8"/>
    <w:rsid w:val="00672598"/>
    <w:rsid w:val="00677429"/>
    <w:rsid w:val="0068048F"/>
    <w:rsid w:val="00680631"/>
    <w:rsid w:val="006868B4"/>
    <w:rsid w:val="0069459C"/>
    <w:rsid w:val="00695CB8"/>
    <w:rsid w:val="00697436"/>
    <w:rsid w:val="006A0246"/>
    <w:rsid w:val="006A0E34"/>
    <w:rsid w:val="006A1825"/>
    <w:rsid w:val="006A3DAE"/>
    <w:rsid w:val="006B484C"/>
    <w:rsid w:val="006B49AC"/>
    <w:rsid w:val="006D01D7"/>
    <w:rsid w:val="006D0D75"/>
    <w:rsid w:val="006E1D0A"/>
    <w:rsid w:val="006E2AF5"/>
    <w:rsid w:val="006E7A16"/>
    <w:rsid w:val="006F0DE3"/>
    <w:rsid w:val="006F1350"/>
    <w:rsid w:val="006F3FA3"/>
    <w:rsid w:val="00702D20"/>
    <w:rsid w:val="00705447"/>
    <w:rsid w:val="0071051A"/>
    <w:rsid w:val="00717E08"/>
    <w:rsid w:val="00734B1B"/>
    <w:rsid w:val="00742EE8"/>
    <w:rsid w:val="007431B6"/>
    <w:rsid w:val="00752FBC"/>
    <w:rsid w:val="00757742"/>
    <w:rsid w:val="007633C0"/>
    <w:rsid w:val="00767C3D"/>
    <w:rsid w:val="00772008"/>
    <w:rsid w:val="00776291"/>
    <w:rsid w:val="00780149"/>
    <w:rsid w:val="00780E83"/>
    <w:rsid w:val="0078145B"/>
    <w:rsid w:val="0078280B"/>
    <w:rsid w:val="00783A7E"/>
    <w:rsid w:val="007A42A1"/>
    <w:rsid w:val="007A5C91"/>
    <w:rsid w:val="007C084C"/>
    <w:rsid w:val="007C1DAF"/>
    <w:rsid w:val="007C329A"/>
    <w:rsid w:val="007C6260"/>
    <w:rsid w:val="007D08EF"/>
    <w:rsid w:val="007D267E"/>
    <w:rsid w:val="007D383B"/>
    <w:rsid w:val="007D40EF"/>
    <w:rsid w:val="007D589C"/>
    <w:rsid w:val="007E437A"/>
    <w:rsid w:val="007F3501"/>
    <w:rsid w:val="007F4D26"/>
    <w:rsid w:val="00813034"/>
    <w:rsid w:val="0081595F"/>
    <w:rsid w:val="00816BE6"/>
    <w:rsid w:val="00817303"/>
    <w:rsid w:val="0081760D"/>
    <w:rsid w:val="008243D7"/>
    <w:rsid w:val="00832753"/>
    <w:rsid w:val="00836995"/>
    <w:rsid w:val="00840A99"/>
    <w:rsid w:val="008505C7"/>
    <w:rsid w:val="00851E92"/>
    <w:rsid w:val="00852AB4"/>
    <w:rsid w:val="00853C03"/>
    <w:rsid w:val="008547FB"/>
    <w:rsid w:val="00855592"/>
    <w:rsid w:val="00862D43"/>
    <w:rsid w:val="00865174"/>
    <w:rsid w:val="008654FF"/>
    <w:rsid w:val="00865DCF"/>
    <w:rsid w:val="00871480"/>
    <w:rsid w:val="00876D4C"/>
    <w:rsid w:val="0089380F"/>
    <w:rsid w:val="008943CF"/>
    <w:rsid w:val="00895997"/>
    <w:rsid w:val="00896F35"/>
    <w:rsid w:val="008A1D80"/>
    <w:rsid w:val="008A355E"/>
    <w:rsid w:val="008A458C"/>
    <w:rsid w:val="008A46BF"/>
    <w:rsid w:val="008A7108"/>
    <w:rsid w:val="008B1A3A"/>
    <w:rsid w:val="008B2A67"/>
    <w:rsid w:val="008C2990"/>
    <w:rsid w:val="008C74AE"/>
    <w:rsid w:val="008D217E"/>
    <w:rsid w:val="008D362E"/>
    <w:rsid w:val="008E7496"/>
    <w:rsid w:val="008F7526"/>
    <w:rsid w:val="00901135"/>
    <w:rsid w:val="009019E6"/>
    <w:rsid w:val="009022BF"/>
    <w:rsid w:val="00902C6E"/>
    <w:rsid w:val="00903A3C"/>
    <w:rsid w:val="00914783"/>
    <w:rsid w:val="00914CBA"/>
    <w:rsid w:val="00915FF0"/>
    <w:rsid w:val="00915FFF"/>
    <w:rsid w:val="009236E0"/>
    <w:rsid w:val="00923F06"/>
    <w:rsid w:val="00930FFE"/>
    <w:rsid w:val="00932087"/>
    <w:rsid w:val="009427F6"/>
    <w:rsid w:val="009506E6"/>
    <w:rsid w:val="009711EB"/>
    <w:rsid w:val="0098178E"/>
    <w:rsid w:val="00983D48"/>
    <w:rsid w:val="00987306"/>
    <w:rsid w:val="0098758B"/>
    <w:rsid w:val="00990325"/>
    <w:rsid w:val="00991798"/>
    <w:rsid w:val="009946E5"/>
    <w:rsid w:val="00995100"/>
    <w:rsid w:val="009A2BDD"/>
    <w:rsid w:val="009A7E2C"/>
    <w:rsid w:val="009B0E5B"/>
    <w:rsid w:val="009B4C43"/>
    <w:rsid w:val="009C3BA3"/>
    <w:rsid w:val="009D0F7A"/>
    <w:rsid w:val="009E3773"/>
    <w:rsid w:val="009E45B7"/>
    <w:rsid w:val="009E61B0"/>
    <w:rsid w:val="009E6EE5"/>
    <w:rsid w:val="009F73E3"/>
    <w:rsid w:val="00A02256"/>
    <w:rsid w:val="00A04FF5"/>
    <w:rsid w:val="00A06459"/>
    <w:rsid w:val="00A10AFA"/>
    <w:rsid w:val="00A12A15"/>
    <w:rsid w:val="00A138BD"/>
    <w:rsid w:val="00A21BD0"/>
    <w:rsid w:val="00A21C51"/>
    <w:rsid w:val="00A25C43"/>
    <w:rsid w:val="00A31BCA"/>
    <w:rsid w:val="00A32429"/>
    <w:rsid w:val="00A3785C"/>
    <w:rsid w:val="00A4091E"/>
    <w:rsid w:val="00A44759"/>
    <w:rsid w:val="00A46B81"/>
    <w:rsid w:val="00A515DF"/>
    <w:rsid w:val="00A56187"/>
    <w:rsid w:val="00A71C6E"/>
    <w:rsid w:val="00A7254A"/>
    <w:rsid w:val="00A81A82"/>
    <w:rsid w:val="00A8626C"/>
    <w:rsid w:val="00A96F44"/>
    <w:rsid w:val="00AA3BF2"/>
    <w:rsid w:val="00AA5DB6"/>
    <w:rsid w:val="00AB3FDC"/>
    <w:rsid w:val="00AB5E0A"/>
    <w:rsid w:val="00AB6CF2"/>
    <w:rsid w:val="00AC008B"/>
    <w:rsid w:val="00AC6B5B"/>
    <w:rsid w:val="00AD0D6E"/>
    <w:rsid w:val="00AD373D"/>
    <w:rsid w:val="00AD5D4D"/>
    <w:rsid w:val="00AE2128"/>
    <w:rsid w:val="00AF2F4A"/>
    <w:rsid w:val="00AF597E"/>
    <w:rsid w:val="00B0002F"/>
    <w:rsid w:val="00B0579C"/>
    <w:rsid w:val="00B07A85"/>
    <w:rsid w:val="00B128FF"/>
    <w:rsid w:val="00B25F9D"/>
    <w:rsid w:val="00B266A4"/>
    <w:rsid w:val="00B26726"/>
    <w:rsid w:val="00B30251"/>
    <w:rsid w:val="00B341AD"/>
    <w:rsid w:val="00B463EA"/>
    <w:rsid w:val="00B5188C"/>
    <w:rsid w:val="00B55995"/>
    <w:rsid w:val="00B55EDD"/>
    <w:rsid w:val="00B56F34"/>
    <w:rsid w:val="00B60737"/>
    <w:rsid w:val="00B63097"/>
    <w:rsid w:val="00B64FFC"/>
    <w:rsid w:val="00B66553"/>
    <w:rsid w:val="00B719C3"/>
    <w:rsid w:val="00B74DEE"/>
    <w:rsid w:val="00B76454"/>
    <w:rsid w:val="00B815E8"/>
    <w:rsid w:val="00B95903"/>
    <w:rsid w:val="00B97CD0"/>
    <w:rsid w:val="00BA2E04"/>
    <w:rsid w:val="00BA38D6"/>
    <w:rsid w:val="00BA3BBE"/>
    <w:rsid w:val="00BB119C"/>
    <w:rsid w:val="00BB1B8B"/>
    <w:rsid w:val="00BB3AEA"/>
    <w:rsid w:val="00BC39EC"/>
    <w:rsid w:val="00BC3E2D"/>
    <w:rsid w:val="00BD42FA"/>
    <w:rsid w:val="00BE1785"/>
    <w:rsid w:val="00BE20A5"/>
    <w:rsid w:val="00BE5F76"/>
    <w:rsid w:val="00BE6A21"/>
    <w:rsid w:val="00BF47E9"/>
    <w:rsid w:val="00BF53A2"/>
    <w:rsid w:val="00BF70D8"/>
    <w:rsid w:val="00C06541"/>
    <w:rsid w:val="00C103E6"/>
    <w:rsid w:val="00C148FC"/>
    <w:rsid w:val="00C16AF9"/>
    <w:rsid w:val="00C30830"/>
    <w:rsid w:val="00C36BBE"/>
    <w:rsid w:val="00C42E68"/>
    <w:rsid w:val="00C43A6D"/>
    <w:rsid w:val="00C46353"/>
    <w:rsid w:val="00C50ABD"/>
    <w:rsid w:val="00C512F3"/>
    <w:rsid w:val="00C52C05"/>
    <w:rsid w:val="00C5723E"/>
    <w:rsid w:val="00C829FA"/>
    <w:rsid w:val="00C8627F"/>
    <w:rsid w:val="00C911E6"/>
    <w:rsid w:val="00C93EAF"/>
    <w:rsid w:val="00CA1F21"/>
    <w:rsid w:val="00CA2314"/>
    <w:rsid w:val="00CA638A"/>
    <w:rsid w:val="00CB0237"/>
    <w:rsid w:val="00CB59AA"/>
    <w:rsid w:val="00CC05A3"/>
    <w:rsid w:val="00CC3B9F"/>
    <w:rsid w:val="00CC55E4"/>
    <w:rsid w:val="00CD4368"/>
    <w:rsid w:val="00CE0600"/>
    <w:rsid w:val="00CE163C"/>
    <w:rsid w:val="00CE7ECD"/>
    <w:rsid w:val="00CF609C"/>
    <w:rsid w:val="00D01758"/>
    <w:rsid w:val="00D15D04"/>
    <w:rsid w:val="00D16328"/>
    <w:rsid w:val="00D21C1A"/>
    <w:rsid w:val="00D23EEA"/>
    <w:rsid w:val="00D31281"/>
    <w:rsid w:val="00D31FE4"/>
    <w:rsid w:val="00D35E66"/>
    <w:rsid w:val="00D3760F"/>
    <w:rsid w:val="00D37F90"/>
    <w:rsid w:val="00D4784C"/>
    <w:rsid w:val="00D50E40"/>
    <w:rsid w:val="00D51C50"/>
    <w:rsid w:val="00D54427"/>
    <w:rsid w:val="00D55BEA"/>
    <w:rsid w:val="00D56894"/>
    <w:rsid w:val="00D60F66"/>
    <w:rsid w:val="00D6634D"/>
    <w:rsid w:val="00D72CA3"/>
    <w:rsid w:val="00D7615F"/>
    <w:rsid w:val="00D76FDD"/>
    <w:rsid w:val="00D838AD"/>
    <w:rsid w:val="00D859AC"/>
    <w:rsid w:val="00D914A1"/>
    <w:rsid w:val="00D95804"/>
    <w:rsid w:val="00D97AA7"/>
    <w:rsid w:val="00DA0129"/>
    <w:rsid w:val="00DA16A5"/>
    <w:rsid w:val="00DA24E8"/>
    <w:rsid w:val="00DB3A33"/>
    <w:rsid w:val="00DB408B"/>
    <w:rsid w:val="00DB60EB"/>
    <w:rsid w:val="00DC15FF"/>
    <w:rsid w:val="00DC34AB"/>
    <w:rsid w:val="00DD7776"/>
    <w:rsid w:val="00DE113D"/>
    <w:rsid w:val="00DE2565"/>
    <w:rsid w:val="00DE4FCC"/>
    <w:rsid w:val="00E04C58"/>
    <w:rsid w:val="00E1099C"/>
    <w:rsid w:val="00E125ED"/>
    <w:rsid w:val="00E142E7"/>
    <w:rsid w:val="00E228A2"/>
    <w:rsid w:val="00E24510"/>
    <w:rsid w:val="00E271E7"/>
    <w:rsid w:val="00E32A0A"/>
    <w:rsid w:val="00E33B31"/>
    <w:rsid w:val="00E3758E"/>
    <w:rsid w:val="00E42C70"/>
    <w:rsid w:val="00E4641B"/>
    <w:rsid w:val="00E52C95"/>
    <w:rsid w:val="00E54D04"/>
    <w:rsid w:val="00E57B3D"/>
    <w:rsid w:val="00E66298"/>
    <w:rsid w:val="00E7676E"/>
    <w:rsid w:val="00E81421"/>
    <w:rsid w:val="00E81920"/>
    <w:rsid w:val="00E91338"/>
    <w:rsid w:val="00E91F75"/>
    <w:rsid w:val="00E96CEA"/>
    <w:rsid w:val="00EA4130"/>
    <w:rsid w:val="00EB01A2"/>
    <w:rsid w:val="00EB4CC0"/>
    <w:rsid w:val="00EC7DFC"/>
    <w:rsid w:val="00ED75AD"/>
    <w:rsid w:val="00EE1C9E"/>
    <w:rsid w:val="00F044C4"/>
    <w:rsid w:val="00F15BA5"/>
    <w:rsid w:val="00F16BA7"/>
    <w:rsid w:val="00F208DB"/>
    <w:rsid w:val="00F27041"/>
    <w:rsid w:val="00F27D14"/>
    <w:rsid w:val="00F31677"/>
    <w:rsid w:val="00F3472B"/>
    <w:rsid w:val="00F42B21"/>
    <w:rsid w:val="00F4320E"/>
    <w:rsid w:val="00F4663E"/>
    <w:rsid w:val="00F50B0E"/>
    <w:rsid w:val="00F522B9"/>
    <w:rsid w:val="00F5292B"/>
    <w:rsid w:val="00F60875"/>
    <w:rsid w:val="00F61C1B"/>
    <w:rsid w:val="00F65452"/>
    <w:rsid w:val="00F72FD8"/>
    <w:rsid w:val="00F73441"/>
    <w:rsid w:val="00F74216"/>
    <w:rsid w:val="00F76135"/>
    <w:rsid w:val="00F82556"/>
    <w:rsid w:val="00F87DAD"/>
    <w:rsid w:val="00F91856"/>
    <w:rsid w:val="00F944B7"/>
    <w:rsid w:val="00F94A72"/>
    <w:rsid w:val="00FA532C"/>
    <w:rsid w:val="00FB1B73"/>
    <w:rsid w:val="00FB213B"/>
    <w:rsid w:val="00FB359A"/>
    <w:rsid w:val="00FB3DAE"/>
    <w:rsid w:val="00FC0F47"/>
    <w:rsid w:val="00FC7282"/>
    <w:rsid w:val="00FC7589"/>
    <w:rsid w:val="00FD75DE"/>
    <w:rsid w:val="00FE2672"/>
    <w:rsid w:val="00FE3A57"/>
    <w:rsid w:val="00FE482D"/>
    <w:rsid w:val="00FF11A7"/>
    <w:rsid w:val="00FF18DA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8555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0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36E1"/>
    <w:rPr>
      <w:color w:val="808080"/>
    </w:rPr>
  </w:style>
  <w:style w:type="character" w:styleId="FollowedHyperlink">
    <w:name w:val="FollowedHyperlink"/>
    <w:basedOn w:val="DefaultParagraphFont"/>
    <w:rsid w:val="00B55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8555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0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36E1"/>
    <w:rPr>
      <w:color w:val="808080"/>
    </w:rPr>
  </w:style>
  <w:style w:type="character" w:styleId="FollowedHyperlink">
    <w:name w:val="FollowedHyperlink"/>
    <w:basedOn w:val="DefaultParagraphFont"/>
    <w:rsid w:val="00B55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cc.ligo.org/DocDB/0002/T0900288/003/AdvLIGO%20noise%20curve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cc.ligo.org/cgi-bin/private/DocDB/ShowDocument?.submit=Number&amp;docid=t1100567&amp;version=" TargetMode="External"/><Relationship Id="rId17" Type="http://schemas.openxmlformats.org/officeDocument/2006/relationships/hyperlink" Target="https://dcc.ligo.org/cgi-bin/private/DocDB/ShowDocument?.submit=Number&amp;docid=t1100567&amp;version=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cc.ligo.org/cgi-bin/private/DocDB/ShowDocument?.submit=Number&amp;docid=T1100068&amp;version=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s://dcc.ligo.org/DocDB/0100/T1300100/001/T1300100-v1.pdf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dcc.ligo.org/cgi-bin/private/DocDB/ShowDocument?.submit=Number&amp;docid=T1100044&amp;version=" TargetMode="External"/><Relationship Id="rId14" Type="http://schemas.openxmlformats.org/officeDocument/2006/relationships/hyperlink" Target="http://www.isomet.com/FinalWebSite/PDFDocs/AO%20Sheets/1205C-x.p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BD8B-6615-4EC1-A079-F48FEEBD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GTellez</dc:creator>
  <cp:lastModifiedBy>Gregorio</cp:lastModifiedBy>
  <cp:revision>549</cp:revision>
  <cp:lastPrinted>2013-03-01T00:36:00Z</cp:lastPrinted>
  <dcterms:created xsi:type="dcterms:W3CDTF">2012-07-31T20:53:00Z</dcterms:created>
  <dcterms:modified xsi:type="dcterms:W3CDTF">2013-07-03T08:33:00Z</dcterms:modified>
</cp:coreProperties>
</file>