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emf" ContentType="image/x-emf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Default Extension="bin" ContentType="application/vnd.openxmlformats-officedocument.wordprocessingml.printerSettings"/>
  <Override PartName="/word/endnotes.xml" ContentType="application/vnd.openxmlformats-officedocument.wordprocessingml.endnote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753F77" w:rsidRDefault="00947801">
      <w:pPr>
        <w:pStyle w:val="Header"/>
        <w:tabs>
          <w:tab w:val="clear" w:pos="4320"/>
          <w:tab w:val="clear" w:pos="8640"/>
        </w:tabs>
      </w:pPr>
      <w:r>
        <w:rPr>
          <w:noProof/>
        </w:rPr>
        <w:pict>
          <v:group id="Group 24" o:spid="_x0000_s1026" style="position:absolute;margin-left:-67.9pt;margin-top:-54.1pt;width:189pt;height:86pt;z-index:251657728" coordorigin="441,364" coordsize="3780,17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"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7" type="#_x0000_t202" style="position:absolute;left:441;top:364;width:2304;height:1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3wizwwAA&#10;ANoAAAAPAAAAZHJzL2Rvd25yZXYueG1sRI9Ba8JAFITvBf/D8oTedNfWlhqzkaIInixNW8HbI/tM&#10;gtm3Ibua9N93BaHHYWa+YdLVYBtxpc7XjjXMpgoEceFMzaWG76/t5A2ED8gGG8ek4Zc8rLLRQ4qJ&#10;cT1/0jUPpYgQ9glqqEJoEyl9UZFFP3UtcfROrrMYouxKaTrsI9w28kmpV2mx5rhQYUvriopzfrEa&#10;fvan42GuPsqNfWl7NyjJdiG1fhwP70sQgYbwH763d0bDM9yuxBsgs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V3wizwwAAANoAAAAPAAAAAAAAAAAAAAAAAJcCAABkcnMvZG93&#10;bnJldi54bWxQSwUGAAAAAAQABAD1AAAAhwMAAAAA&#10;" filled="f" stroked="f">
              <v:textbox>
                <w:txbxContent>
                  <w:p w:rsidR="00E537B7" w:rsidRDefault="00E537B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270000" cy="955040"/>
                          <wp:effectExtent l="0" t="0" r="0" b="10160"/>
                          <wp:docPr id="2" name="Picture 2" descr="Ligo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Ligo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0000" cy="9550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19" o:spid="_x0000_s1028" type="#_x0000_t202" style="position:absolute;left:2601;top:544;width:1620;height:14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NpDHwQAA&#10;ANoAAAAPAAAAZHJzL2Rvd25yZXYueG1sRI9Pi8IwFMTvgt8hPMGbJoqKW40iirAnF//swt4ezbMt&#10;Ni+libb77TeC4HGYmd8wy3VrS/Gg2heONYyGCgRx6kzBmYbLeT+Yg/AB2WDpmDT8kYf1qttZYmJc&#10;w0d6nEImIoR9ghryEKpESp/mZNEPXUUcvaurLYYo60yaGpsIt6UcKzWTFguOCzlWtM0pvZ3uVsP3&#10;4fr7M1Ff2c5Oq8a1SrL9kFr3e+1mASJQG97hV/vTaJjA80q8AXL1D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2jaQx8EAAADaAAAADwAAAAAAAAAAAAAAAACXAgAAZHJzL2Rvd25y&#10;ZXYueG1sUEsFBgAAAAAEAAQA9QAAAIUDAAAAAA==&#10;" filled="f" stroked="f">
              <v:textbox>
                <w:txbxContent>
                  <w:p w:rsidR="00E537B7" w:rsidRDefault="00E537B7"/>
                </w:txbxContent>
              </v:textbox>
            </v:shape>
          </v:group>
        </w:pict>
      </w:r>
      <w:r w:rsidR="003C6EE5">
        <w:tab/>
      </w:r>
      <w:r w:rsidR="003C6EE5">
        <w:tab/>
      </w:r>
      <w:r w:rsidR="003C6EE5">
        <w:tab/>
      </w:r>
      <w:r w:rsidR="003C6EE5">
        <w:tab/>
      </w:r>
      <w:r w:rsidR="003C6EE5">
        <w:tab/>
      </w:r>
      <w:r w:rsidR="003C6EE5">
        <w:tab/>
      </w:r>
      <w:r w:rsidR="003C6EE5">
        <w:tab/>
      </w:r>
    </w:p>
    <w:tbl>
      <w:tblPr>
        <w:tblW w:w="3600" w:type="dxa"/>
        <w:tblInd w:w="5778" w:type="dxa"/>
        <w:tblLook w:val="0000"/>
      </w:tblPr>
      <w:tblGrid>
        <w:gridCol w:w="1170"/>
        <w:gridCol w:w="2430"/>
      </w:tblGrid>
      <w:tr w:rsidR="00753F77">
        <w:trPr>
          <w:trHeight w:val="314"/>
        </w:trPr>
        <w:tc>
          <w:tcPr>
            <w:tcW w:w="1170" w:type="dxa"/>
            <w:vAlign w:val="center"/>
          </w:tcPr>
          <w:p w:rsidR="00753F77" w:rsidRDefault="003C6EE5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Date:</w:t>
            </w:r>
          </w:p>
        </w:tc>
        <w:tc>
          <w:tcPr>
            <w:tcW w:w="2430" w:type="dxa"/>
            <w:vAlign w:val="center"/>
          </w:tcPr>
          <w:p w:rsidR="00753F77" w:rsidRDefault="00947801">
            <w:pPr>
              <w:pStyle w:val="Style1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 w:rsidR="003C6EE5">
              <w:rPr>
                <w:sz w:val="20"/>
              </w:rPr>
              <w:instrText xml:space="preserve"> TIME \@ "MMMM d, yyyy" </w:instrText>
            </w:r>
            <w:r>
              <w:rPr>
                <w:sz w:val="20"/>
              </w:rPr>
              <w:fldChar w:fldCharType="separate"/>
            </w:r>
            <w:r w:rsidR="00955856">
              <w:rPr>
                <w:noProof/>
                <w:sz w:val="20"/>
              </w:rPr>
              <w:t>June 17, 2013</w:t>
            </w:r>
            <w:r>
              <w:rPr>
                <w:sz w:val="20"/>
              </w:rPr>
              <w:fldChar w:fldCharType="end"/>
            </w:r>
          </w:p>
        </w:tc>
      </w:tr>
      <w:tr w:rsidR="00753F77">
        <w:trPr>
          <w:trHeight w:val="332"/>
        </w:trPr>
        <w:tc>
          <w:tcPr>
            <w:tcW w:w="1170" w:type="dxa"/>
            <w:vAlign w:val="center"/>
          </w:tcPr>
          <w:p w:rsidR="00753F77" w:rsidRDefault="003C6EE5">
            <w:pPr>
              <w:jc w:val="right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  <w:sz w:val="16"/>
              </w:rPr>
              <w:t>Refer  to</w:t>
            </w:r>
            <w:proofErr w:type="gram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2430" w:type="dxa"/>
            <w:vAlign w:val="center"/>
          </w:tcPr>
          <w:p w:rsidR="00753F77" w:rsidRDefault="00917F3B" w:rsidP="0015263D">
            <w:r>
              <w:t>LIGO-T1300</w:t>
            </w:r>
            <w:r w:rsidR="0015263D">
              <w:t>553-v1</w:t>
            </w:r>
          </w:p>
        </w:tc>
      </w:tr>
    </w:tbl>
    <w:p w:rsidR="00753F77" w:rsidRDefault="00753F77">
      <w:pPr>
        <w:rPr>
          <w:rFonts w:ascii="Arial" w:hAnsi="Arial"/>
          <w:sz w:val="24"/>
        </w:rPr>
      </w:pPr>
    </w:p>
    <w:p w:rsidR="00753F77" w:rsidRDefault="00691EB6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To: </w:t>
      </w:r>
      <w:r>
        <w:rPr>
          <w:rFonts w:ascii="Times" w:hAnsi="Times"/>
          <w:sz w:val="24"/>
        </w:rPr>
        <w:tab/>
      </w:r>
      <w:r w:rsidR="000B6C4B">
        <w:rPr>
          <w:rFonts w:ascii="Times" w:hAnsi="Times"/>
          <w:sz w:val="24"/>
        </w:rPr>
        <w:t xml:space="preserve">D. Coyne, </w:t>
      </w:r>
      <w:r w:rsidR="00917F3B">
        <w:rPr>
          <w:rFonts w:ascii="Times" w:hAnsi="Times"/>
          <w:sz w:val="24"/>
        </w:rPr>
        <w:t>S. McCormick</w:t>
      </w:r>
      <w:r w:rsidR="000B6C4B">
        <w:rPr>
          <w:rFonts w:ascii="Times" w:hAnsi="Times"/>
          <w:sz w:val="24"/>
        </w:rPr>
        <w:t xml:space="preserve">, F. </w:t>
      </w:r>
      <w:proofErr w:type="spellStart"/>
      <w:r w:rsidR="000B6C4B">
        <w:rPr>
          <w:rFonts w:ascii="Times" w:hAnsi="Times"/>
          <w:sz w:val="24"/>
        </w:rPr>
        <w:t>Raab</w:t>
      </w:r>
      <w:proofErr w:type="spellEnd"/>
      <w:r w:rsidR="000B6C4B">
        <w:rPr>
          <w:rFonts w:ascii="Times" w:hAnsi="Times"/>
          <w:sz w:val="24"/>
        </w:rPr>
        <w:t>, J. Worden,</w:t>
      </w:r>
      <w:r w:rsidR="00917F3B" w:rsidRPr="00917F3B">
        <w:rPr>
          <w:rFonts w:ascii="Times" w:hAnsi="Times"/>
          <w:sz w:val="24"/>
        </w:rPr>
        <w:t xml:space="preserve"> </w:t>
      </w:r>
      <w:proofErr w:type="gramStart"/>
      <w:r w:rsidR="00917F3B">
        <w:rPr>
          <w:rFonts w:ascii="Times" w:hAnsi="Times"/>
          <w:sz w:val="24"/>
        </w:rPr>
        <w:t>R</w:t>
      </w:r>
      <w:proofErr w:type="gramEnd"/>
      <w:r w:rsidR="00917F3B">
        <w:rPr>
          <w:rFonts w:ascii="Times" w:hAnsi="Times"/>
          <w:sz w:val="24"/>
        </w:rPr>
        <w:t>. Weiss</w:t>
      </w:r>
    </w:p>
    <w:p w:rsidR="00753F77" w:rsidRDefault="003C6EE5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From:</w:t>
      </w:r>
      <w:r>
        <w:rPr>
          <w:rFonts w:ascii="Times" w:hAnsi="Times"/>
          <w:sz w:val="24"/>
        </w:rPr>
        <w:tab/>
      </w:r>
      <w:r w:rsidR="00947801">
        <w:rPr>
          <w:rFonts w:ascii="Times" w:hAnsi="Times"/>
          <w:sz w:val="24"/>
        </w:rPr>
        <w:fldChar w:fldCharType="begin"/>
      </w:r>
      <w:r>
        <w:rPr>
          <w:rFonts w:ascii="Times" w:hAnsi="Times"/>
          <w:sz w:val="24"/>
        </w:rPr>
        <w:instrText xml:space="preserve"> CONTACT _Con-438ABEED1 \c \s \l </w:instrText>
      </w:r>
      <w:r w:rsidR="00947801">
        <w:rPr>
          <w:rFonts w:ascii="Times" w:hAnsi="Times"/>
          <w:sz w:val="24"/>
        </w:rPr>
        <w:fldChar w:fldCharType="separate"/>
      </w:r>
      <w:r w:rsidR="000B6C4B">
        <w:rPr>
          <w:rFonts w:ascii="Times" w:hAnsi="Times"/>
          <w:sz w:val="24"/>
        </w:rPr>
        <w:t xml:space="preserve">M. </w:t>
      </w:r>
      <w:r>
        <w:rPr>
          <w:rFonts w:ascii="Times" w:hAnsi="Times"/>
          <w:sz w:val="24"/>
        </w:rPr>
        <w:t>Zucker</w:t>
      </w:r>
      <w:r w:rsidR="00947801">
        <w:rPr>
          <w:rFonts w:ascii="Times" w:hAnsi="Times"/>
          <w:sz w:val="24"/>
        </w:rPr>
        <w:fldChar w:fldCharType="end"/>
      </w:r>
      <w:r w:rsidR="00907BE3">
        <w:rPr>
          <w:rFonts w:ascii="Times" w:hAnsi="Times"/>
          <w:sz w:val="24"/>
        </w:rPr>
        <w:t xml:space="preserve"> </w:t>
      </w:r>
    </w:p>
    <w:p w:rsidR="00753F77" w:rsidRDefault="003C6EE5">
      <w:pPr>
        <w:ind w:left="720" w:hanging="720"/>
        <w:rPr>
          <w:rFonts w:ascii="Arial" w:hAnsi="Arial"/>
          <w:sz w:val="24"/>
        </w:rPr>
      </w:pPr>
      <w:r>
        <w:rPr>
          <w:rFonts w:ascii="Times" w:hAnsi="Times"/>
          <w:sz w:val="24"/>
        </w:rPr>
        <w:t xml:space="preserve">Re: </w:t>
      </w:r>
      <w:r>
        <w:rPr>
          <w:rFonts w:ascii="Times" w:hAnsi="Times"/>
          <w:sz w:val="24"/>
        </w:rPr>
        <w:tab/>
      </w:r>
      <w:r w:rsidR="005A7AD7">
        <w:rPr>
          <w:rFonts w:ascii="Times" w:hAnsi="Times"/>
          <w:b/>
          <w:sz w:val="24"/>
        </w:rPr>
        <w:t>Effect of leak-test port separation; measurement</w:t>
      </w:r>
      <w:r w:rsidR="00917F3B">
        <w:rPr>
          <w:rFonts w:ascii="Times" w:hAnsi="Times"/>
          <w:b/>
          <w:sz w:val="24"/>
        </w:rPr>
        <w:t xml:space="preserve"> of He transient </w:t>
      </w:r>
      <w:r w:rsidR="00124D94">
        <w:rPr>
          <w:rFonts w:ascii="Times" w:hAnsi="Times"/>
          <w:b/>
          <w:sz w:val="24"/>
        </w:rPr>
        <w:t xml:space="preserve">at </w:t>
      </w:r>
      <w:r w:rsidR="005A7AD7">
        <w:rPr>
          <w:rFonts w:ascii="Times" w:hAnsi="Times"/>
          <w:b/>
          <w:sz w:val="24"/>
        </w:rPr>
        <w:t xml:space="preserve">z = </w:t>
      </w:r>
      <w:r w:rsidR="00124D94">
        <w:rPr>
          <w:rFonts w:ascii="Times" w:hAnsi="Times"/>
          <w:b/>
          <w:sz w:val="24"/>
        </w:rPr>
        <w:t xml:space="preserve">250m </w:t>
      </w:r>
    </w:p>
    <w:p w:rsidR="00753F77" w:rsidRDefault="00753F77">
      <w:pPr>
        <w:pStyle w:val="RegPara"/>
      </w:pPr>
    </w:p>
    <w:p w:rsidR="00917F3B" w:rsidRDefault="00917F3B" w:rsidP="00F0237C">
      <w:pPr>
        <w:pStyle w:val="RegPara"/>
        <w:jc w:val="both"/>
      </w:pPr>
      <w:r>
        <w:rPr>
          <w:b/>
        </w:rPr>
        <w:t xml:space="preserve">Abstract: </w:t>
      </w:r>
      <w:r>
        <w:t>In T1200375</w:t>
      </w:r>
      <w:r w:rsidR="00932B57">
        <w:t xml:space="preserve"> (Weiss and </w:t>
      </w:r>
      <w:r w:rsidR="00F71C1A">
        <w:t>MZ</w:t>
      </w:r>
      <w:r w:rsidR="00932B57">
        <w:t>, July 2012)</w:t>
      </w:r>
      <w:r>
        <w:t xml:space="preserve"> we calculated </w:t>
      </w:r>
      <w:proofErr w:type="gramStart"/>
      <w:r w:rsidR="00865CDC" w:rsidRPr="00865CDC">
        <w:rPr>
          <w:i/>
        </w:rPr>
        <w:t>P(</w:t>
      </w:r>
      <w:proofErr w:type="spellStart"/>
      <w:proofErr w:type="gramEnd"/>
      <w:r w:rsidR="00865CDC" w:rsidRPr="00865CDC">
        <w:rPr>
          <w:i/>
        </w:rPr>
        <w:t>t,z</w:t>
      </w:r>
      <w:proofErr w:type="spellEnd"/>
      <w:r w:rsidR="00865CDC" w:rsidRPr="00865CDC">
        <w:rPr>
          <w:i/>
        </w:rPr>
        <w:t>)</w:t>
      </w:r>
      <w:r>
        <w:t xml:space="preserve"> for impulse and finite-step </w:t>
      </w:r>
      <w:r w:rsidR="006A447A">
        <w:t xml:space="preserve">helium </w:t>
      </w:r>
      <w:r>
        <w:t xml:space="preserve">injections into the beam tube. </w:t>
      </w:r>
      <w:r w:rsidR="00865CDC">
        <w:t>A</w:t>
      </w:r>
      <w:r>
        <w:t xml:space="preserve"> practical application is to determine degradation of He </w:t>
      </w:r>
      <w:r w:rsidR="009500F5">
        <w:t>mass-spectrometer leak detector (</w:t>
      </w:r>
      <w:r>
        <w:t>MSLD</w:t>
      </w:r>
      <w:r w:rsidR="009500F5">
        <w:t>)</w:t>
      </w:r>
      <w:r w:rsidR="00EB409F">
        <w:t xml:space="preserve"> </w:t>
      </w:r>
      <w:r w:rsidR="00865CDC">
        <w:t xml:space="preserve">test </w:t>
      </w:r>
      <w:r w:rsidR="00EB409F">
        <w:t xml:space="preserve">sensitivity as a function of separation </w:t>
      </w:r>
      <w:r w:rsidR="00865CDC" w:rsidRPr="00865CDC">
        <w:rPr>
          <w:i/>
        </w:rPr>
        <w:t>z</w:t>
      </w:r>
      <w:r w:rsidR="00865CDC">
        <w:t xml:space="preserve"> </w:t>
      </w:r>
      <w:r>
        <w:t xml:space="preserve">between </w:t>
      </w:r>
      <w:r w:rsidR="00865CDC">
        <w:t>t</w:t>
      </w:r>
      <w:r>
        <w:t xml:space="preserve">est site and </w:t>
      </w:r>
      <w:r w:rsidR="00865CDC">
        <w:t>sampling port</w:t>
      </w:r>
      <w:r>
        <w:t xml:space="preserve">. </w:t>
      </w:r>
    </w:p>
    <w:p w:rsidR="00917F3B" w:rsidRDefault="00917F3B" w:rsidP="00F0237C">
      <w:pPr>
        <w:pStyle w:val="RegPara"/>
        <w:jc w:val="both"/>
      </w:pPr>
    </w:p>
    <w:p w:rsidR="00097657" w:rsidRDefault="00B20566" w:rsidP="00F0237C">
      <w:pPr>
        <w:pStyle w:val="RegPara"/>
        <w:jc w:val="both"/>
      </w:pPr>
      <w:r>
        <w:t xml:space="preserve">Here I plot </w:t>
      </w:r>
      <w:r w:rsidR="00932B57">
        <w:t xml:space="preserve">expected MSLD </w:t>
      </w:r>
      <w:r w:rsidR="00917F3B">
        <w:t xml:space="preserve">response </w:t>
      </w:r>
      <w:r w:rsidR="00932B57">
        <w:t>to</w:t>
      </w:r>
      <w:r w:rsidR="00917F3B">
        <w:t xml:space="preserve"> a </w:t>
      </w:r>
      <w:r w:rsidR="006B029A">
        <w:t xml:space="preserve">nominal </w:t>
      </w:r>
      <w:r w:rsidR="00932B57">
        <w:t xml:space="preserve">30-second </w:t>
      </w:r>
      <w:r w:rsidR="00CD4EFC">
        <w:t xml:space="preserve">injection of helium at various distances </w:t>
      </w:r>
      <w:r w:rsidR="00CD4EFC" w:rsidRPr="00CD4EFC">
        <w:rPr>
          <w:i/>
        </w:rPr>
        <w:t>z</w:t>
      </w:r>
      <w:r w:rsidR="00CD4EFC">
        <w:t xml:space="preserve">. The </w:t>
      </w:r>
      <w:r w:rsidR="00865CDC">
        <w:t xml:space="preserve">expected </w:t>
      </w:r>
      <w:r w:rsidR="00CD4EFC">
        <w:t xml:space="preserve">peak </w:t>
      </w:r>
      <w:r w:rsidR="00865CDC">
        <w:t>deflection</w:t>
      </w:r>
      <w:r w:rsidR="00CD4EFC">
        <w:t xml:space="preserve"> is found to be degraded by about a factor of five</w:t>
      </w:r>
      <w:r w:rsidR="000068A8">
        <w:t xml:space="preserve"> </w:t>
      </w:r>
      <w:r w:rsidR="00CD4EFC">
        <w:t xml:space="preserve">at </w:t>
      </w:r>
      <w:r w:rsidR="00CD4EFC" w:rsidRPr="00CD4EFC">
        <w:rPr>
          <w:i/>
        </w:rPr>
        <w:t>z</w:t>
      </w:r>
      <w:r w:rsidR="000068A8">
        <w:rPr>
          <w:i/>
        </w:rPr>
        <w:t xml:space="preserve"> </w:t>
      </w:r>
      <w:r w:rsidR="00CD4EFC">
        <w:t>=</w:t>
      </w:r>
      <w:r w:rsidR="000068A8">
        <w:t xml:space="preserve"> </w:t>
      </w:r>
      <w:r w:rsidR="00CD4EFC">
        <w:t xml:space="preserve">250m (corresponding to the separation between </w:t>
      </w:r>
      <w:proofErr w:type="spellStart"/>
      <w:r w:rsidR="00CD4EFC">
        <w:t>beamtube</w:t>
      </w:r>
      <w:proofErr w:type="spellEnd"/>
      <w:r w:rsidR="00CD4EFC">
        <w:t xml:space="preserve"> pump ports)</w:t>
      </w:r>
      <w:r w:rsidR="000068A8">
        <w:t>,</w:t>
      </w:r>
      <w:r w:rsidR="00CD4EFC">
        <w:t xml:space="preserve"> and </w:t>
      </w:r>
      <w:r w:rsidR="000068A8">
        <w:t xml:space="preserve">by </w:t>
      </w:r>
      <w:r w:rsidR="00CD4EFC">
        <w:t xml:space="preserve">a factor of ten at </w:t>
      </w:r>
      <w:r w:rsidR="00CD4EFC" w:rsidRPr="00CD4EFC">
        <w:rPr>
          <w:i/>
        </w:rPr>
        <w:t>z</w:t>
      </w:r>
      <w:r w:rsidR="000068A8">
        <w:rPr>
          <w:i/>
        </w:rPr>
        <w:t xml:space="preserve"> </w:t>
      </w:r>
      <w:r w:rsidR="00CD4EFC">
        <w:t>=</w:t>
      </w:r>
      <w:r w:rsidR="000068A8">
        <w:t xml:space="preserve"> </w:t>
      </w:r>
      <w:r w:rsidR="00CD4EFC">
        <w:t xml:space="preserve">500m. </w:t>
      </w:r>
      <w:r w:rsidR="00865CDC">
        <w:t xml:space="preserve"> The time delays from injection to peak response are about 1 and 5 minutes at these locations, respectively. </w:t>
      </w:r>
    </w:p>
    <w:p w:rsidR="00097657" w:rsidRDefault="00097657" w:rsidP="00F0237C">
      <w:pPr>
        <w:pStyle w:val="RegPara"/>
        <w:jc w:val="both"/>
      </w:pPr>
    </w:p>
    <w:p w:rsidR="006D4C7C" w:rsidRDefault="0058216A" w:rsidP="00F0237C">
      <w:pPr>
        <w:pStyle w:val="RegPara"/>
        <w:jc w:val="both"/>
      </w:pPr>
      <w:r>
        <w:t>I</w:t>
      </w:r>
      <w:r w:rsidR="00CD4EFC">
        <w:t xml:space="preserve"> </w:t>
      </w:r>
      <w:r w:rsidR="00097657">
        <w:t xml:space="preserve">then </w:t>
      </w:r>
      <w:r w:rsidR="00CD4EFC">
        <w:t xml:space="preserve">compare the prediction to a test injection at </w:t>
      </w:r>
      <w:r w:rsidR="00CD4EFC" w:rsidRPr="00CD4EFC">
        <w:rPr>
          <w:i/>
        </w:rPr>
        <w:t>z</w:t>
      </w:r>
      <w:r w:rsidR="00CD4EFC">
        <w:rPr>
          <w:i/>
        </w:rPr>
        <w:t xml:space="preserve"> </w:t>
      </w:r>
      <w:r w:rsidR="000068A8">
        <w:t>= 250m,</w:t>
      </w:r>
      <w:r w:rsidR="00CD4EFC">
        <w:t xml:space="preserve"> performed </w:t>
      </w:r>
      <w:r w:rsidR="00932B57">
        <w:t xml:space="preserve">15 May 2013 on the LLO Y tube. </w:t>
      </w:r>
      <w:r w:rsidR="00F71C1A">
        <w:t>Agreement</w:t>
      </w:r>
      <w:r w:rsidR="000A1F85">
        <w:t xml:space="preserve"> </w:t>
      </w:r>
      <w:r w:rsidR="00865CDC">
        <w:t>looks</w:t>
      </w:r>
      <w:r w:rsidR="000A1F85">
        <w:t xml:space="preserve"> adequate</w:t>
      </w:r>
      <w:r w:rsidR="00EB409F">
        <w:t xml:space="preserve"> for the present purpose</w:t>
      </w:r>
      <w:r w:rsidR="004320B8">
        <w:t xml:space="preserve">, but </w:t>
      </w:r>
      <w:r w:rsidR="00865CDC">
        <w:t xml:space="preserve">the </w:t>
      </w:r>
      <w:r w:rsidR="00F71C1A">
        <w:t>detailed</w:t>
      </w:r>
      <w:r w:rsidR="009500F5">
        <w:t xml:space="preserve"> </w:t>
      </w:r>
      <w:r w:rsidR="004320B8">
        <w:t>t</w:t>
      </w:r>
      <w:r w:rsidR="00865CDC">
        <w:t>ransient</w:t>
      </w:r>
      <w:r w:rsidR="000A1F85">
        <w:t xml:space="preserve"> is not </w:t>
      </w:r>
      <w:r w:rsidR="00FD6D66">
        <w:t>completely understood</w:t>
      </w:r>
      <w:r w:rsidR="000A1F85">
        <w:t>.</w:t>
      </w:r>
      <w:r w:rsidR="00EA3C5B">
        <w:t xml:space="preserve"> </w:t>
      </w:r>
      <w:r w:rsidR="006D4C7C">
        <w:t>More investigation of the leak detector</w:t>
      </w:r>
      <w:r w:rsidR="00AE6A0D">
        <w:t>’s</w:t>
      </w:r>
      <w:r w:rsidR="006D4C7C">
        <w:t xml:space="preserve"> impulse response is needed.</w:t>
      </w:r>
    </w:p>
    <w:p w:rsidR="000F618D" w:rsidRDefault="000F618D" w:rsidP="00F0237C">
      <w:pPr>
        <w:pStyle w:val="RegPara"/>
        <w:jc w:val="both"/>
      </w:pPr>
    </w:p>
    <w:p w:rsidR="000F618D" w:rsidRDefault="000F618D" w:rsidP="00F0237C">
      <w:pPr>
        <w:pStyle w:val="RegPara"/>
        <w:jc w:val="both"/>
      </w:pPr>
      <w:r>
        <w:t xml:space="preserve">Because the </w:t>
      </w:r>
      <w:r w:rsidR="00097657">
        <w:t xml:space="preserve">limiting </w:t>
      </w:r>
      <w:r w:rsidR="006A447A">
        <w:t xml:space="preserve">MSLD </w:t>
      </w:r>
      <w:r w:rsidR="00AE6A0D">
        <w:t xml:space="preserve">test </w:t>
      </w:r>
      <w:r>
        <w:t>sensitivity</w:t>
      </w:r>
      <w:r w:rsidR="00097657">
        <w:t xml:space="preserve"> at </w:t>
      </w:r>
      <w:r w:rsidR="00865CDC">
        <w:rPr>
          <w:i/>
        </w:rPr>
        <w:t xml:space="preserve">any </w:t>
      </w:r>
      <w:r w:rsidR="00865CDC">
        <w:t>position is not comfortably below our threshold for concern, I</w:t>
      </w:r>
      <w:r w:rsidR="00097657">
        <w:t xml:space="preserve"> conclude </w:t>
      </w:r>
      <w:r w:rsidR="005A7AD7">
        <w:t>that</w:t>
      </w:r>
      <w:r w:rsidR="006A447A">
        <w:t xml:space="preserve"> wherever feasible</w:t>
      </w:r>
      <w:r w:rsidR="005A7AD7">
        <w:t xml:space="preserve"> </w:t>
      </w:r>
      <w:r w:rsidR="00097657">
        <w:t xml:space="preserve">it makes sense to locate the MSLD </w:t>
      </w:r>
      <w:r w:rsidR="00865CDC">
        <w:t>on</w:t>
      </w:r>
      <w:r w:rsidR="00097657">
        <w:t xml:space="preserve"> one of the test ports nearest </w:t>
      </w:r>
      <w:r w:rsidR="00AE6A0D">
        <w:t>each</w:t>
      </w:r>
      <w:r w:rsidR="00097657">
        <w:t xml:space="preserve"> zone under investigation. </w:t>
      </w:r>
    </w:p>
    <w:p w:rsidR="00932B57" w:rsidRDefault="00932B57" w:rsidP="00F0237C">
      <w:pPr>
        <w:pStyle w:val="RegPara"/>
        <w:jc w:val="both"/>
      </w:pPr>
    </w:p>
    <w:p w:rsidR="00E022BA" w:rsidRDefault="001F4822" w:rsidP="00917F3B">
      <w:pPr>
        <w:pStyle w:val="RegPara"/>
        <w:jc w:val="both"/>
      </w:pPr>
      <w:r>
        <w:rPr>
          <w:b/>
        </w:rPr>
        <w:t xml:space="preserve">Test </w:t>
      </w:r>
      <w:r w:rsidR="00A403D2">
        <w:rPr>
          <w:b/>
        </w:rPr>
        <w:t>m</w:t>
      </w:r>
      <w:r w:rsidR="009153FC" w:rsidRPr="009153FC">
        <w:rPr>
          <w:b/>
        </w:rPr>
        <w:t>ethod:</w:t>
      </w:r>
      <w:r w:rsidR="009153FC">
        <w:t xml:space="preserve"> </w:t>
      </w:r>
      <w:r w:rsidR="000A1F85">
        <w:t>A Pfeiffer ASM</w:t>
      </w:r>
      <w:r w:rsidR="00FD6D66">
        <w:t xml:space="preserve"> </w:t>
      </w:r>
      <w:r w:rsidR="000A1F85">
        <w:t xml:space="preserve">310 helium mass spectrometer leak </w:t>
      </w:r>
      <w:r w:rsidR="00647F1E">
        <w:t>detecto</w:t>
      </w:r>
      <w:r w:rsidR="000A1F85">
        <w:t>r back</w:t>
      </w:r>
      <w:r w:rsidR="00AE6A0D">
        <w:t>s</w:t>
      </w:r>
      <w:r w:rsidR="000A1F85">
        <w:t xml:space="preserve"> a small </w:t>
      </w:r>
      <w:r w:rsidR="00E022BA">
        <w:t xml:space="preserve">50 l/s </w:t>
      </w:r>
      <w:r w:rsidR="00647F1E">
        <w:t>(</w:t>
      </w:r>
      <w:r w:rsidR="00E022BA">
        <w:t>nominal</w:t>
      </w:r>
      <w:r w:rsidR="00647F1E">
        <w:t>)</w:t>
      </w:r>
      <w:r w:rsidR="00E022BA">
        <w:t xml:space="preserve"> </w:t>
      </w:r>
      <w:proofErr w:type="spellStart"/>
      <w:r w:rsidR="000A1F85">
        <w:t>turbopump</w:t>
      </w:r>
      <w:proofErr w:type="spellEnd"/>
      <w:r w:rsidR="006A447A">
        <w:t>,</w:t>
      </w:r>
      <w:r w:rsidR="009F07A0">
        <w:t xml:space="preserve"> connected to the </w:t>
      </w:r>
      <w:proofErr w:type="spellStart"/>
      <w:r w:rsidR="009F07A0">
        <w:t>beamtube</w:t>
      </w:r>
      <w:proofErr w:type="spellEnd"/>
      <w:r w:rsidR="009F07A0">
        <w:t xml:space="preserve"> through</w:t>
      </w:r>
      <w:r w:rsidR="00E022BA">
        <w:t xml:space="preserve"> two 1.5” nominal angle valves</w:t>
      </w:r>
      <w:r w:rsidR="00647F1E">
        <w:t xml:space="preserve"> in series </w:t>
      </w:r>
      <w:r w:rsidR="00E022BA">
        <w:t>(</w:t>
      </w:r>
      <w:r w:rsidR="009F07A0">
        <w:t>one</w:t>
      </w:r>
      <w:r w:rsidR="00E022BA">
        <w:t xml:space="preserve"> all-metal</w:t>
      </w:r>
      <w:r w:rsidR="009F07A0">
        <w:t>,</w:t>
      </w:r>
      <w:r w:rsidR="00E022BA">
        <w:t xml:space="preserve"> and the second </w:t>
      </w:r>
      <w:proofErr w:type="spellStart"/>
      <w:r w:rsidR="00E022BA">
        <w:t>Viton</w:t>
      </w:r>
      <w:proofErr w:type="spellEnd"/>
      <w:r w:rsidR="00E022BA">
        <w:t>-sealed)</w:t>
      </w:r>
      <w:r w:rsidR="00647F1E">
        <w:t>.</w:t>
      </w:r>
    </w:p>
    <w:p w:rsidR="00E022BA" w:rsidRDefault="00E022BA" w:rsidP="00917F3B">
      <w:pPr>
        <w:pStyle w:val="RegPara"/>
        <w:jc w:val="both"/>
      </w:pPr>
    </w:p>
    <w:p w:rsidR="00647F1E" w:rsidRDefault="00E022BA" w:rsidP="00917F3B">
      <w:pPr>
        <w:pStyle w:val="RegPara"/>
        <w:jc w:val="both"/>
      </w:pPr>
      <w:r>
        <w:t>Since</w:t>
      </w:r>
      <w:r w:rsidR="009F07A0">
        <w:t xml:space="preserve"> </w:t>
      </w:r>
      <w:proofErr w:type="spellStart"/>
      <w:r>
        <w:t>turbo</w:t>
      </w:r>
      <w:r w:rsidR="00FD6D66">
        <w:t>pump</w:t>
      </w:r>
      <w:proofErr w:type="spellEnd"/>
      <w:r>
        <w:t xml:space="preserve"> compression is high, eff</w:t>
      </w:r>
      <w:r w:rsidR="005A7AD7">
        <w:t xml:space="preserve">ective conductance from the </w:t>
      </w:r>
      <w:r>
        <w:t xml:space="preserve">tube to the leak detector is </w:t>
      </w:r>
      <w:r w:rsidR="00944C50">
        <w:t xml:space="preserve">mainly </w:t>
      </w:r>
      <w:r>
        <w:t>de</w:t>
      </w:r>
      <w:r w:rsidR="00944C50">
        <w:t>f</w:t>
      </w:r>
      <w:r>
        <w:t>ined by conductance from the tube to the turbo</w:t>
      </w:r>
      <w:r w:rsidR="00FD6D66">
        <w:t xml:space="preserve"> inlet</w:t>
      </w:r>
      <w:r>
        <w:t xml:space="preserve">. </w:t>
      </w:r>
      <w:r w:rsidR="004E3F02">
        <w:t>Valve</w:t>
      </w:r>
      <w:r>
        <w:t xml:space="preserve"> </w:t>
      </w:r>
      <w:r w:rsidR="00647F1E">
        <w:t>data</w:t>
      </w:r>
      <w:r w:rsidR="004E3F02">
        <w:t xml:space="preserve"> indicate this </w:t>
      </w:r>
      <w:r>
        <w:t xml:space="preserve">conductance </w:t>
      </w:r>
      <w:r w:rsidR="006B029A">
        <w:t>is</w:t>
      </w:r>
      <w:r>
        <w:t xml:space="preserve"> </w:t>
      </w:r>
      <w:r w:rsidR="001E35A8">
        <w:t xml:space="preserve">about </w:t>
      </w:r>
      <w:proofErr w:type="gramStart"/>
      <w:r w:rsidR="00FD6D66" w:rsidRPr="00E022BA">
        <w:rPr>
          <w:i/>
        </w:rPr>
        <w:t>C</w:t>
      </w:r>
      <w:r w:rsidR="00FD6D66" w:rsidRPr="00E022BA">
        <w:rPr>
          <w:i/>
          <w:vertAlign w:val="subscript"/>
        </w:rPr>
        <w:t>LD</w:t>
      </w:r>
      <w:r w:rsidR="00FD6D66">
        <w:rPr>
          <w:i/>
        </w:rPr>
        <w:t>(</w:t>
      </w:r>
      <w:proofErr w:type="gramEnd"/>
      <w:r w:rsidR="00FD6D66">
        <w:rPr>
          <w:i/>
        </w:rPr>
        <w:t>He)</w:t>
      </w:r>
      <w:r w:rsidR="00647F1E">
        <w:t xml:space="preserve"> = (45 ± 10) l/s</w:t>
      </w:r>
      <w:r w:rsidR="004E3F02">
        <w:t xml:space="preserve"> at 300K</w:t>
      </w:r>
      <w:r w:rsidR="00647F1E">
        <w:t xml:space="preserve">. </w:t>
      </w:r>
      <w:r w:rsidR="00FD6D66">
        <w:t xml:space="preserve">This is taken </w:t>
      </w:r>
      <w:r w:rsidR="00647F1E">
        <w:t>as</w:t>
      </w:r>
      <w:r w:rsidR="00FD6D66">
        <w:t xml:space="preserve"> the coefficient </w:t>
      </w:r>
      <w:r w:rsidR="003D2CAE">
        <w:t>link</w:t>
      </w:r>
      <w:r w:rsidR="00FD6D66">
        <w:t xml:space="preserve">ing MSLD apparent </w:t>
      </w:r>
      <w:r w:rsidR="0055110B">
        <w:t>“</w:t>
      </w:r>
      <w:r w:rsidR="00FD6D66">
        <w:t>leak rate</w:t>
      </w:r>
      <w:r w:rsidR="0055110B">
        <w:t>”</w:t>
      </w:r>
      <w:r w:rsidR="00FD6D66">
        <w:t xml:space="preserve"> to </w:t>
      </w:r>
      <w:r w:rsidR="00647F1E">
        <w:t xml:space="preserve">local </w:t>
      </w:r>
      <w:r w:rsidR="00FD6D66">
        <w:t xml:space="preserve">He partial pressure. </w:t>
      </w:r>
      <w:r w:rsidR="00CD4EFC">
        <w:t xml:space="preserve"> </w:t>
      </w:r>
      <w:r w:rsidR="00647F1E">
        <w:t xml:space="preserve">The MSLD analog </w:t>
      </w:r>
      <w:r w:rsidR="004E3F02">
        <w:t xml:space="preserve">monitor </w:t>
      </w:r>
      <w:r w:rsidR="00647F1E">
        <w:t xml:space="preserve">output </w:t>
      </w:r>
      <w:r w:rsidR="00CD4EFC">
        <w:t>i</w:t>
      </w:r>
      <w:r w:rsidR="00647F1E">
        <w:t>s</w:t>
      </w:r>
      <w:r w:rsidR="00124D94">
        <w:t xml:space="preserve"> recorded at </w:t>
      </w:r>
      <w:r w:rsidR="006A447A">
        <w:t>1-</w:t>
      </w:r>
      <w:r w:rsidR="00124D94">
        <w:t>second intervals</w:t>
      </w:r>
      <w:r w:rsidR="00647F1E">
        <w:t xml:space="preserve"> </w:t>
      </w:r>
      <w:r w:rsidR="00CD4EFC">
        <w:t xml:space="preserve">by a </w:t>
      </w:r>
      <w:proofErr w:type="spellStart"/>
      <w:r w:rsidR="00647F1E">
        <w:t>datalogger</w:t>
      </w:r>
      <w:proofErr w:type="spellEnd"/>
      <w:r w:rsidR="00647F1E">
        <w:t xml:space="preserve">. </w:t>
      </w:r>
    </w:p>
    <w:p w:rsidR="009F07A0" w:rsidRDefault="009F07A0" w:rsidP="00917F3B">
      <w:pPr>
        <w:pStyle w:val="RegPara"/>
        <w:jc w:val="both"/>
      </w:pPr>
    </w:p>
    <w:p w:rsidR="009F07A0" w:rsidRDefault="009F07A0" w:rsidP="009F07A0">
      <w:pPr>
        <w:pStyle w:val="RegPara"/>
        <w:jc w:val="both"/>
      </w:pPr>
      <w:r>
        <w:t xml:space="preserve">A VTI Teflon-plug type helium calibration source </w:t>
      </w:r>
      <w:r w:rsidR="00AE6A0D">
        <w:t>is</w:t>
      </w:r>
      <w:r>
        <w:t xml:space="preserve"> mounted on an isolation valve 2 meters north of GV7 (essentially the </w:t>
      </w:r>
      <w:proofErr w:type="spellStart"/>
      <w:r>
        <w:t>beamtube</w:t>
      </w:r>
      <w:proofErr w:type="spellEnd"/>
      <w:r>
        <w:t xml:space="preserve"> midpoint)</w:t>
      </w:r>
      <w:r w:rsidR="00944C50">
        <w:t>,</w:t>
      </w:r>
      <w:r>
        <w:t xml:space="preserve"> and the leak detector assembly </w:t>
      </w:r>
      <w:r w:rsidR="00944C50">
        <w:t>i</w:t>
      </w:r>
      <w:r>
        <w:t xml:space="preserve">s located at the first pump port south of the </w:t>
      </w:r>
      <w:proofErr w:type="spellStart"/>
      <w:r>
        <w:t>midstation</w:t>
      </w:r>
      <w:proofErr w:type="spellEnd"/>
      <w:r>
        <w:t>, 250 meters south. The factory calibration of the calibration source g</w:t>
      </w:r>
      <w:r w:rsidR="00AE6A0D">
        <w:t>ives</w:t>
      </w:r>
      <w:r>
        <w:t xml:space="preserve"> a rate </w:t>
      </w:r>
      <w:proofErr w:type="gramStart"/>
      <w:r w:rsidRPr="008B679C">
        <w:rPr>
          <w:i/>
        </w:rPr>
        <w:t>Q(</w:t>
      </w:r>
      <w:proofErr w:type="gramEnd"/>
      <w:r w:rsidRPr="008B679C">
        <w:rPr>
          <w:i/>
        </w:rPr>
        <w:t>He)</w:t>
      </w:r>
      <w:r>
        <w:t xml:space="preserve"> = (3.8±0.2) x 10</w:t>
      </w:r>
      <w:r w:rsidRPr="008B679C">
        <w:rPr>
          <w:vertAlign w:val="superscript"/>
        </w:rPr>
        <w:t>-6</w:t>
      </w:r>
      <w:r>
        <w:t xml:space="preserve"> </w:t>
      </w:r>
      <w:proofErr w:type="spellStart"/>
      <w:r>
        <w:t>Tl</w:t>
      </w:r>
      <w:proofErr w:type="spellEnd"/>
      <w:r>
        <w:t>/s, after correcting for age depletion.  The test tree also carrie</w:t>
      </w:r>
      <w:r w:rsidR="00AE6A0D">
        <w:t>s</w:t>
      </w:r>
      <w:r>
        <w:t xml:space="preserve"> a small </w:t>
      </w:r>
      <w:proofErr w:type="spellStart"/>
      <w:r>
        <w:t>turbopump</w:t>
      </w:r>
      <w:proofErr w:type="spellEnd"/>
      <w:r>
        <w:t xml:space="preserve"> with its own isolation valve, such that the calibration gas c</w:t>
      </w:r>
      <w:r w:rsidR="00AE6A0D">
        <w:t>an</w:t>
      </w:r>
      <w:r>
        <w:t xml:space="preserve"> either be diverted to the turbo or </w:t>
      </w:r>
      <w:proofErr w:type="gramStart"/>
      <w:r>
        <w:t>admitted</w:t>
      </w:r>
      <w:proofErr w:type="gramEnd"/>
      <w:r>
        <w:t xml:space="preserve"> to the </w:t>
      </w:r>
      <w:proofErr w:type="spellStart"/>
      <w:r>
        <w:t>beamtube</w:t>
      </w:r>
      <w:proofErr w:type="spellEnd"/>
      <w:r>
        <w:t>. We c</w:t>
      </w:r>
      <w:r w:rsidR="00AE6A0D">
        <w:t>an</w:t>
      </w:r>
      <w:r>
        <w:t xml:space="preserve"> control the </w:t>
      </w:r>
      <w:r w:rsidR="00124D94">
        <w:t xml:space="preserve">complementary </w:t>
      </w:r>
      <w:r>
        <w:t xml:space="preserve">valve strokes to about  ±5 seconds precision, giving ±15% uncertainty in a nominal 30-second injection. </w:t>
      </w:r>
    </w:p>
    <w:p w:rsidR="009F07A0" w:rsidRDefault="009F07A0" w:rsidP="00917F3B">
      <w:pPr>
        <w:pStyle w:val="RegPara"/>
        <w:jc w:val="both"/>
      </w:pPr>
    </w:p>
    <w:p w:rsidR="009F07A0" w:rsidRDefault="009F07A0" w:rsidP="00917F3B">
      <w:pPr>
        <w:pStyle w:val="RegPara"/>
        <w:jc w:val="both"/>
      </w:pPr>
      <w:r>
        <w:t>Figure 1 shows the expected response to a 30-second injection of the above magnitude</w:t>
      </w:r>
      <w:r w:rsidR="00AE6A0D">
        <w:t xml:space="preserve">, </w:t>
      </w:r>
      <w:r>
        <w:t xml:space="preserve">with the putative source </w:t>
      </w:r>
      <w:r w:rsidR="00AE6A0D">
        <w:t xml:space="preserve">placed </w:t>
      </w:r>
      <w:r>
        <w:t xml:space="preserve">at various distances from the detector. </w:t>
      </w:r>
    </w:p>
    <w:p w:rsidR="009F07A0" w:rsidRDefault="009F07A0" w:rsidP="00917F3B">
      <w:pPr>
        <w:pStyle w:val="RegPara"/>
        <w:jc w:val="both"/>
      </w:pPr>
    </w:p>
    <w:p w:rsidR="009F07A0" w:rsidRDefault="009F07A0" w:rsidP="00342194">
      <w:pPr>
        <w:keepNext/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4821882" cy="4284133"/>
            <wp:effectExtent l="0" t="0" r="0" b="0"/>
            <wp:docPr id="9" name="Picture 9" descr="Macintosh HD:Users:mike:Documents:Vacuum:LLO_YLEAK:model_vs_distance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mike:Documents:Vacuum:LLO_YLEAK:model_vs_distance.pdf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t="16711" r="2201" b="16197"/>
                    <a:stretch/>
                  </pic:blipFill>
                  <pic:spPr bwMode="auto">
                    <a:xfrm>
                      <a:off x="0" y="0"/>
                      <a:ext cx="4823024" cy="4285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B029A" w:rsidRDefault="009F07A0" w:rsidP="003613A8">
      <w:pPr>
        <w:pStyle w:val="Caption"/>
        <w:jc w:val="both"/>
      </w:pPr>
      <w:r>
        <w:t xml:space="preserve">Figure </w:t>
      </w:r>
      <w:fldSimple w:instr=" SEQ Figure \* ARABIC ">
        <w:r w:rsidR="00955856">
          <w:rPr>
            <w:noProof/>
          </w:rPr>
          <w:t>1</w:t>
        </w:r>
      </w:fldSimple>
      <w:r>
        <w:t xml:space="preserve">: Model leak detector response for He test injections as described in text, assuming different injection positions </w:t>
      </w:r>
      <w:r w:rsidRPr="009F07A0">
        <w:rPr>
          <w:i/>
        </w:rPr>
        <w:t>z</w:t>
      </w:r>
      <w:r>
        <w:t xml:space="preserve"> ranging from 10m (blue) to 1</w:t>
      </w:r>
      <w:r w:rsidR="00AE46D8">
        <w:t>.01</w:t>
      </w:r>
      <w:r>
        <w:t xml:space="preserve"> km (purple). </w:t>
      </w:r>
      <w:r w:rsidR="000068A8">
        <w:t xml:space="preserve"> The </w:t>
      </w:r>
      <w:r w:rsidR="00AE6A0D">
        <w:t xml:space="preserve">actual </w:t>
      </w:r>
      <w:r w:rsidR="000068A8">
        <w:t xml:space="preserve">test </w:t>
      </w:r>
      <w:r w:rsidR="00124D94">
        <w:t xml:space="preserve">(Fig. 2) </w:t>
      </w:r>
      <w:r w:rsidR="000068A8">
        <w:t xml:space="preserve">was performed at </w:t>
      </w:r>
      <w:r w:rsidR="000068A8" w:rsidRPr="000068A8">
        <w:rPr>
          <w:i/>
        </w:rPr>
        <w:t>z</w:t>
      </w:r>
      <w:r w:rsidR="000068A8">
        <w:t xml:space="preserve"> = 250m (green).</w:t>
      </w:r>
    </w:p>
    <w:p w:rsidR="003613A8" w:rsidRDefault="003613A8" w:rsidP="003613A8"/>
    <w:p w:rsidR="00F94C6C" w:rsidRDefault="003613A8" w:rsidP="003613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Using this model, </w:t>
      </w:r>
      <w:r w:rsidRPr="00906695">
        <w:rPr>
          <w:sz w:val="24"/>
          <w:szCs w:val="24"/>
        </w:rPr>
        <w:t xml:space="preserve">Table 1 gives the expected </w:t>
      </w:r>
      <w:r>
        <w:rPr>
          <w:sz w:val="24"/>
          <w:szCs w:val="24"/>
        </w:rPr>
        <w:t xml:space="preserve">air-equivalent leak </w:t>
      </w:r>
      <w:proofErr w:type="spellStart"/>
      <w:r w:rsidR="000068A8">
        <w:rPr>
          <w:sz w:val="24"/>
          <w:szCs w:val="24"/>
        </w:rPr>
        <w:t>detectability</w:t>
      </w:r>
      <w:proofErr w:type="spellEnd"/>
      <w:r>
        <w:rPr>
          <w:sz w:val="24"/>
          <w:szCs w:val="24"/>
        </w:rPr>
        <w:t xml:space="preserve"> limit for</w:t>
      </w:r>
      <w:r w:rsidRPr="00906695">
        <w:rPr>
          <w:sz w:val="24"/>
          <w:szCs w:val="24"/>
        </w:rPr>
        <w:t xml:space="preserve"> tests conducted by </w:t>
      </w:r>
      <w:r w:rsidR="005A7AD7">
        <w:rPr>
          <w:sz w:val="24"/>
          <w:szCs w:val="24"/>
        </w:rPr>
        <w:t xml:space="preserve">briefly </w:t>
      </w:r>
      <w:r>
        <w:rPr>
          <w:sz w:val="24"/>
          <w:szCs w:val="24"/>
        </w:rPr>
        <w:t xml:space="preserve">surrounding a </w:t>
      </w:r>
      <w:r w:rsidR="005A7AD7">
        <w:rPr>
          <w:sz w:val="24"/>
          <w:szCs w:val="24"/>
        </w:rPr>
        <w:t xml:space="preserve">given </w:t>
      </w:r>
      <w:r>
        <w:rPr>
          <w:sz w:val="24"/>
          <w:szCs w:val="24"/>
        </w:rPr>
        <w:t xml:space="preserve">section of tube </w:t>
      </w:r>
      <w:r w:rsidR="00C83DC4">
        <w:rPr>
          <w:sz w:val="24"/>
          <w:szCs w:val="24"/>
        </w:rPr>
        <w:t>with helium</w:t>
      </w:r>
      <w:r w:rsidRPr="00906695">
        <w:rPr>
          <w:sz w:val="24"/>
          <w:szCs w:val="24"/>
        </w:rPr>
        <w:t xml:space="preserve">. </w:t>
      </w:r>
      <w:r w:rsidR="0058216A">
        <w:rPr>
          <w:sz w:val="24"/>
          <w:szCs w:val="24"/>
        </w:rPr>
        <w:t>I</w:t>
      </w:r>
      <w:r w:rsidRPr="00906695">
        <w:rPr>
          <w:sz w:val="24"/>
          <w:szCs w:val="24"/>
        </w:rPr>
        <w:t xml:space="preserve"> assume the </w:t>
      </w:r>
      <w:r w:rsidR="00C83DC4">
        <w:rPr>
          <w:sz w:val="24"/>
          <w:szCs w:val="24"/>
        </w:rPr>
        <w:t>test zone (bag or ambient volume)</w:t>
      </w:r>
      <w:r w:rsidRPr="00906695">
        <w:rPr>
          <w:sz w:val="24"/>
          <w:szCs w:val="24"/>
        </w:rPr>
        <w:t xml:space="preserve"> acquires </w:t>
      </w:r>
      <w:r>
        <w:rPr>
          <w:sz w:val="24"/>
          <w:szCs w:val="24"/>
        </w:rPr>
        <w:t xml:space="preserve">at least </w:t>
      </w:r>
      <w:r w:rsidRPr="00906695">
        <w:rPr>
          <w:sz w:val="24"/>
          <w:szCs w:val="24"/>
        </w:rPr>
        <w:t xml:space="preserve">10% He concentration for </w:t>
      </w:r>
      <w:r w:rsidR="006A447A">
        <w:rPr>
          <w:sz w:val="24"/>
          <w:szCs w:val="24"/>
        </w:rPr>
        <w:t xml:space="preserve">at </w:t>
      </w:r>
      <w:proofErr w:type="gramStart"/>
      <w:r w:rsidR="006A447A">
        <w:rPr>
          <w:sz w:val="24"/>
          <w:szCs w:val="24"/>
        </w:rPr>
        <w:t xml:space="preserve">least </w:t>
      </w:r>
      <w:r w:rsidRPr="00906695">
        <w:rPr>
          <w:sz w:val="24"/>
          <w:szCs w:val="24"/>
        </w:rPr>
        <w:t xml:space="preserve"> of</w:t>
      </w:r>
      <w:proofErr w:type="gramEnd"/>
      <w:r w:rsidRPr="00906695">
        <w:rPr>
          <w:sz w:val="24"/>
          <w:szCs w:val="24"/>
        </w:rPr>
        <w:t xml:space="preserve"> 30 seconds, and that </w:t>
      </w:r>
      <w:r>
        <w:rPr>
          <w:sz w:val="24"/>
          <w:szCs w:val="24"/>
        </w:rPr>
        <w:t xml:space="preserve">a positive test requires a </w:t>
      </w:r>
      <w:r w:rsidR="00C83DC4">
        <w:rPr>
          <w:sz w:val="24"/>
          <w:szCs w:val="24"/>
        </w:rPr>
        <w:t xml:space="preserve">minimum </w:t>
      </w:r>
      <w:r>
        <w:rPr>
          <w:sz w:val="24"/>
          <w:szCs w:val="24"/>
        </w:rPr>
        <w:t>of 3 x10</w:t>
      </w:r>
      <w:r w:rsidRPr="003613A8">
        <w:rPr>
          <w:sz w:val="24"/>
          <w:szCs w:val="24"/>
          <w:vertAlign w:val="superscript"/>
        </w:rPr>
        <w:t>-10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Tl</w:t>
      </w:r>
      <w:proofErr w:type="spellEnd"/>
      <w:r w:rsidRPr="00906695">
        <w:rPr>
          <w:sz w:val="24"/>
          <w:szCs w:val="24"/>
        </w:rPr>
        <w:t xml:space="preserve">/s </w:t>
      </w:r>
      <w:r w:rsidR="006A447A">
        <w:rPr>
          <w:sz w:val="24"/>
          <w:szCs w:val="24"/>
        </w:rPr>
        <w:t xml:space="preserve">deflection </w:t>
      </w:r>
      <w:r>
        <w:rPr>
          <w:sz w:val="24"/>
          <w:szCs w:val="24"/>
        </w:rPr>
        <w:t>on the leak checker</w:t>
      </w:r>
      <w:r w:rsidR="006A447A">
        <w:rPr>
          <w:sz w:val="24"/>
          <w:szCs w:val="24"/>
        </w:rPr>
        <w:t xml:space="preserve"> readout</w:t>
      </w:r>
      <w:r>
        <w:rPr>
          <w:sz w:val="24"/>
          <w:szCs w:val="24"/>
        </w:rPr>
        <w:t xml:space="preserve">. </w:t>
      </w:r>
      <w:r w:rsidRPr="00906695">
        <w:rPr>
          <w:sz w:val="24"/>
          <w:szCs w:val="24"/>
        </w:rPr>
        <w:t xml:space="preserve"> </w:t>
      </w:r>
    </w:p>
    <w:p w:rsidR="00F94C6C" w:rsidRDefault="00F94C6C" w:rsidP="003613A8">
      <w:pPr>
        <w:jc w:val="both"/>
        <w:rPr>
          <w:sz w:val="24"/>
          <w:szCs w:val="24"/>
        </w:rPr>
      </w:pPr>
    </w:p>
    <w:p w:rsidR="00AE6A0D" w:rsidRDefault="003613A8" w:rsidP="003613A8">
      <w:pPr>
        <w:jc w:val="both"/>
        <w:rPr>
          <w:sz w:val="24"/>
          <w:szCs w:val="24"/>
        </w:rPr>
      </w:pPr>
      <w:r>
        <w:rPr>
          <w:sz w:val="24"/>
          <w:szCs w:val="24"/>
        </w:rPr>
        <w:t>In reality, th</w:t>
      </w:r>
      <w:r w:rsidR="006A447A">
        <w:rPr>
          <w:sz w:val="24"/>
          <w:szCs w:val="24"/>
        </w:rPr>
        <w:t xml:space="preserve">e </w:t>
      </w:r>
      <w:r w:rsidR="00F94C6C">
        <w:rPr>
          <w:sz w:val="24"/>
          <w:szCs w:val="24"/>
        </w:rPr>
        <w:t>deflection</w:t>
      </w:r>
      <w:r>
        <w:rPr>
          <w:sz w:val="24"/>
          <w:szCs w:val="24"/>
        </w:rPr>
        <w:t xml:space="preserve"> </w:t>
      </w:r>
      <w:r w:rsidR="00C83DC4">
        <w:rPr>
          <w:sz w:val="24"/>
          <w:szCs w:val="24"/>
        </w:rPr>
        <w:t xml:space="preserve">criterion </w:t>
      </w:r>
      <w:r w:rsidR="006A447A">
        <w:rPr>
          <w:sz w:val="24"/>
          <w:szCs w:val="24"/>
        </w:rPr>
        <w:t xml:space="preserve">should </w:t>
      </w:r>
      <w:r>
        <w:rPr>
          <w:sz w:val="24"/>
          <w:szCs w:val="24"/>
        </w:rPr>
        <w:t xml:space="preserve">depend on </w:t>
      </w:r>
      <w:r w:rsidR="00C83DC4">
        <w:rPr>
          <w:sz w:val="24"/>
          <w:szCs w:val="24"/>
        </w:rPr>
        <w:t xml:space="preserve">the MSLD </w:t>
      </w:r>
      <w:r w:rsidR="006A447A">
        <w:rPr>
          <w:sz w:val="24"/>
          <w:szCs w:val="24"/>
        </w:rPr>
        <w:t xml:space="preserve">noise and </w:t>
      </w:r>
      <w:r w:rsidR="00C83DC4">
        <w:rPr>
          <w:sz w:val="24"/>
          <w:szCs w:val="24"/>
        </w:rPr>
        <w:t xml:space="preserve">background </w:t>
      </w:r>
      <w:r>
        <w:rPr>
          <w:sz w:val="24"/>
          <w:szCs w:val="24"/>
        </w:rPr>
        <w:t>drift</w:t>
      </w:r>
      <w:r w:rsidR="0058216A">
        <w:rPr>
          <w:sz w:val="24"/>
          <w:szCs w:val="24"/>
        </w:rPr>
        <w:t xml:space="preserve"> over </w:t>
      </w:r>
      <w:r w:rsidR="005A7AD7">
        <w:rPr>
          <w:sz w:val="24"/>
          <w:szCs w:val="24"/>
        </w:rPr>
        <w:t>whatever</w:t>
      </w:r>
      <w:r>
        <w:rPr>
          <w:sz w:val="24"/>
          <w:szCs w:val="24"/>
        </w:rPr>
        <w:t xml:space="preserve"> observing duration</w:t>
      </w:r>
      <w:r w:rsidR="005A7AD7">
        <w:rPr>
          <w:sz w:val="24"/>
          <w:szCs w:val="24"/>
        </w:rPr>
        <w:t xml:space="preserve"> is</w:t>
      </w:r>
      <w:r>
        <w:rPr>
          <w:sz w:val="24"/>
          <w:szCs w:val="24"/>
        </w:rPr>
        <w:t xml:space="preserve"> required to establish a signal</w:t>
      </w:r>
      <w:r w:rsidR="00F94C6C">
        <w:rPr>
          <w:sz w:val="24"/>
          <w:szCs w:val="24"/>
        </w:rPr>
        <w:t>. A</w:t>
      </w:r>
      <w:r w:rsidR="0058216A">
        <w:rPr>
          <w:sz w:val="24"/>
          <w:szCs w:val="24"/>
        </w:rPr>
        <w:t xml:space="preserve">s a lower bound on this </w:t>
      </w:r>
      <w:r w:rsidR="006A447A">
        <w:rPr>
          <w:sz w:val="24"/>
          <w:szCs w:val="24"/>
        </w:rPr>
        <w:t>duration</w:t>
      </w:r>
      <w:r w:rsidR="0058216A">
        <w:rPr>
          <w:sz w:val="24"/>
          <w:szCs w:val="24"/>
        </w:rPr>
        <w:t>,</w:t>
      </w:r>
      <w:r>
        <w:rPr>
          <w:sz w:val="24"/>
          <w:szCs w:val="24"/>
        </w:rPr>
        <w:t xml:space="preserve"> the expected peak </w:t>
      </w:r>
      <w:r w:rsidR="005A7AD7">
        <w:rPr>
          <w:sz w:val="24"/>
          <w:szCs w:val="24"/>
        </w:rPr>
        <w:t>delay</w:t>
      </w:r>
      <w:r>
        <w:rPr>
          <w:sz w:val="24"/>
          <w:szCs w:val="24"/>
        </w:rPr>
        <w:t xml:space="preserve"> </w:t>
      </w:r>
      <w:r w:rsidR="00C83DC4">
        <w:rPr>
          <w:sz w:val="24"/>
          <w:szCs w:val="24"/>
        </w:rPr>
        <w:t xml:space="preserve">(governed by diffusion) </w:t>
      </w:r>
      <w:r w:rsidR="006A447A">
        <w:rPr>
          <w:sz w:val="24"/>
          <w:szCs w:val="24"/>
        </w:rPr>
        <w:t>is given in the third column of the table.</w:t>
      </w:r>
      <w:r>
        <w:rPr>
          <w:sz w:val="24"/>
          <w:szCs w:val="24"/>
        </w:rPr>
        <w:t xml:space="preserve"> </w:t>
      </w:r>
      <w:r w:rsidR="00C83DC4">
        <w:rPr>
          <w:sz w:val="24"/>
          <w:szCs w:val="24"/>
        </w:rPr>
        <w:t xml:space="preserve"> </w:t>
      </w:r>
      <w:r w:rsidR="00F94C6C">
        <w:rPr>
          <w:sz w:val="24"/>
          <w:szCs w:val="24"/>
        </w:rPr>
        <w:t>The MSLD noise may sometimes be the range of a few x 10</w:t>
      </w:r>
      <w:r w:rsidR="00F94C6C" w:rsidRPr="00F94C6C">
        <w:rPr>
          <w:sz w:val="24"/>
          <w:szCs w:val="24"/>
          <w:vertAlign w:val="superscript"/>
        </w:rPr>
        <w:t>-11</w:t>
      </w:r>
      <w:r w:rsidR="00F94C6C">
        <w:rPr>
          <w:sz w:val="24"/>
          <w:szCs w:val="24"/>
          <w:vertAlign w:val="superscript"/>
        </w:rPr>
        <w:t xml:space="preserve"> </w:t>
      </w:r>
      <w:proofErr w:type="spellStart"/>
      <w:r w:rsidR="00F94C6C">
        <w:rPr>
          <w:sz w:val="24"/>
          <w:szCs w:val="24"/>
        </w:rPr>
        <w:t>Tl</w:t>
      </w:r>
      <w:proofErr w:type="spellEnd"/>
      <w:r w:rsidR="00F94C6C">
        <w:rPr>
          <w:sz w:val="24"/>
          <w:szCs w:val="24"/>
        </w:rPr>
        <w:t xml:space="preserve">/s, as seen at left in Figure 2, or better; but we’ve found in practice that long-term stability at this level is </w:t>
      </w:r>
      <w:r w:rsidR="006A447A">
        <w:rPr>
          <w:sz w:val="24"/>
          <w:szCs w:val="24"/>
        </w:rPr>
        <w:t>far from</w:t>
      </w:r>
      <w:r w:rsidR="00F94C6C">
        <w:rPr>
          <w:sz w:val="24"/>
          <w:szCs w:val="24"/>
        </w:rPr>
        <w:t xml:space="preserve"> typical. The </w:t>
      </w:r>
      <w:r w:rsidR="006A447A">
        <w:rPr>
          <w:sz w:val="24"/>
          <w:szCs w:val="24"/>
        </w:rPr>
        <w:t>machine</w:t>
      </w:r>
      <w:r w:rsidR="00F94C6C">
        <w:rPr>
          <w:sz w:val="24"/>
          <w:szCs w:val="24"/>
        </w:rPr>
        <w:t xml:space="preserve"> is</w:t>
      </w:r>
      <w:r w:rsidR="0058216A">
        <w:rPr>
          <w:sz w:val="24"/>
          <w:szCs w:val="24"/>
        </w:rPr>
        <w:t>n’t</w:t>
      </w:r>
      <w:r w:rsidR="00F94C6C">
        <w:rPr>
          <w:sz w:val="24"/>
          <w:szCs w:val="24"/>
        </w:rPr>
        <w:t xml:space="preserve"> </w:t>
      </w:r>
      <w:r w:rsidR="0058216A">
        <w:rPr>
          <w:sz w:val="24"/>
          <w:szCs w:val="24"/>
        </w:rPr>
        <w:t xml:space="preserve">really </w:t>
      </w:r>
      <w:r w:rsidR="00F94C6C">
        <w:rPr>
          <w:sz w:val="24"/>
          <w:szCs w:val="24"/>
        </w:rPr>
        <w:t xml:space="preserve">designed for </w:t>
      </w:r>
      <w:r w:rsidR="006A447A">
        <w:rPr>
          <w:sz w:val="24"/>
          <w:szCs w:val="24"/>
        </w:rPr>
        <w:t>very</w:t>
      </w:r>
      <w:r w:rsidR="00F94C6C">
        <w:rPr>
          <w:sz w:val="24"/>
          <w:szCs w:val="24"/>
        </w:rPr>
        <w:t xml:space="preserve"> </w:t>
      </w:r>
      <w:r w:rsidR="005A7AD7">
        <w:rPr>
          <w:sz w:val="24"/>
          <w:szCs w:val="24"/>
        </w:rPr>
        <w:t>long</w:t>
      </w:r>
      <w:r w:rsidR="00F94C6C">
        <w:rPr>
          <w:sz w:val="24"/>
          <w:szCs w:val="24"/>
        </w:rPr>
        <w:t xml:space="preserve"> test durations.</w:t>
      </w:r>
    </w:p>
    <w:p w:rsidR="00342194" w:rsidRDefault="00342194" w:rsidP="003613A8">
      <w:pPr>
        <w:jc w:val="both"/>
        <w:rPr>
          <w:sz w:val="24"/>
          <w:szCs w:val="24"/>
        </w:rPr>
      </w:pPr>
    </w:p>
    <w:p w:rsidR="00342194" w:rsidRDefault="00342194" w:rsidP="003613A8">
      <w:pPr>
        <w:jc w:val="both"/>
        <w:rPr>
          <w:sz w:val="24"/>
          <w:szCs w:val="24"/>
        </w:rPr>
      </w:pPr>
    </w:p>
    <w:p w:rsidR="00124D94" w:rsidRPr="00906695" w:rsidRDefault="00124D94" w:rsidP="003613A8">
      <w:pPr>
        <w:jc w:val="both"/>
        <w:rPr>
          <w:sz w:val="24"/>
          <w:szCs w:val="24"/>
        </w:rPr>
      </w:pPr>
    </w:p>
    <w:p w:rsidR="003613A8" w:rsidRDefault="003613A8" w:rsidP="003613A8"/>
    <w:tbl>
      <w:tblPr>
        <w:tblStyle w:val="LightShading"/>
        <w:tblW w:w="0" w:type="auto"/>
        <w:jc w:val="center"/>
        <w:tblLook w:val="06A0"/>
      </w:tblPr>
      <w:tblGrid>
        <w:gridCol w:w="1771"/>
        <w:gridCol w:w="1771"/>
        <w:gridCol w:w="1771"/>
      </w:tblGrid>
      <w:tr w:rsidR="003613A8">
        <w:trPr>
          <w:cnfStyle w:val="100000000000"/>
          <w:cantSplit/>
          <w:jc w:val="center"/>
        </w:trPr>
        <w:tc>
          <w:tcPr>
            <w:cnfStyle w:val="001000000000"/>
            <w:tcW w:w="1771" w:type="dxa"/>
          </w:tcPr>
          <w:p w:rsidR="003613A8" w:rsidRDefault="003613A8" w:rsidP="003613A8">
            <w:pPr>
              <w:jc w:val="center"/>
            </w:pPr>
            <w:r>
              <w:t xml:space="preserve"> </w:t>
            </w:r>
          </w:p>
          <w:p w:rsidR="003613A8" w:rsidRDefault="003613A8" w:rsidP="003613A8">
            <w:pPr>
              <w:jc w:val="center"/>
            </w:pPr>
            <w:proofErr w:type="gramStart"/>
            <w:r>
              <w:t>z</w:t>
            </w:r>
            <w:proofErr w:type="gramEnd"/>
            <w:r>
              <w:t xml:space="preserve"> (m)</w:t>
            </w:r>
          </w:p>
        </w:tc>
        <w:tc>
          <w:tcPr>
            <w:tcW w:w="1771" w:type="dxa"/>
          </w:tcPr>
          <w:p w:rsidR="003613A8" w:rsidRDefault="003613A8" w:rsidP="003613A8">
            <w:pPr>
              <w:jc w:val="center"/>
              <w:cnfStyle w:val="100000000000"/>
            </w:pPr>
            <w:r>
              <w:t>Min. detectable</w:t>
            </w:r>
          </w:p>
          <w:p w:rsidR="003613A8" w:rsidRDefault="003613A8" w:rsidP="003613A8">
            <w:pPr>
              <w:jc w:val="center"/>
              <w:cnfStyle w:val="100000000000"/>
            </w:pPr>
            <w:proofErr w:type="gramStart"/>
            <w:r w:rsidRPr="00F247EC">
              <w:rPr>
                <w:i/>
              </w:rPr>
              <w:t>Q(</w:t>
            </w:r>
            <w:proofErr w:type="gramEnd"/>
            <w:r w:rsidRPr="00F247EC">
              <w:rPr>
                <w:i/>
              </w:rPr>
              <w:t>air)</w:t>
            </w:r>
            <w:r>
              <w:t xml:space="preserve"> (</w:t>
            </w:r>
            <w:r w:rsidR="00085959">
              <w:t>10</w:t>
            </w:r>
            <w:r w:rsidR="00085959" w:rsidRPr="00085959">
              <w:rPr>
                <w:vertAlign w:val="superscript"/>
              </w:rPr>
              <w:t>-6</w:t>
            </w:r>
            <w:r w:rsidR="00085959">
              <w:rPr>
                <w:vertAlign w:val="superscript"/>
              </w:rPr>
              <w:t xml:space="preserve"> </w:t>
            </w:r>
            <w:proofErr w:type="spellStart"/>
            <w:r>
              <w:t>Tl</w:t>
            </w:r>
            <w:proofErr w:type="spellEnd"/>
            <w:r>
              <w:t>/s)</w:t>
            </w:r>
          </w:p>
        </w:tc>
        <w:tc>
          <w:tcPr>
            <w:tcW w:w="1771" w:type="dxa"/>
          </w:tcPr>
          <w:p w:rsidR="003613A8" w:rsidRDefault="003613A8" w:rsidP="003613A8">
            <w:pPr>
              <w:jc w:val="center"/>
              <w:cnfStyle w:val="100000000000"/>
            </w:pPr>
            <w:r>
              <w:t>Time to peak deflection (s)</w:t>
            </w:r>
          </w:p>
        </w:tc>
      </w:tr>
      <w:tr w:rsidR="003613A8">
        <w:trPr>
          <w:cantSplit/>
          <w:jc w:val="center"/>
        </w:trPr>
        <w:tc>
          <w:tcPr>
            <w:cnfStyle w:val="001000000000"/>
            <w:tcW w:w="1771" w:type="dxa"/>
          </w:tcPr>
          <w:p w:rsidR="003613A8" w:rsidRPr="00906695" w:rsidRDefault="003613A8" w:rsidP="003613A8">
            <w:pPr>
              <w:jc w:val="center"/>
              <w:rPr>
                <w:b w:val="0"/>
              </w:rPr>
            </w:pPr>
            <w:r w:rsidRPr="00906695">
              <w:rPr>
                <w:b w:val="0"/>
              </w:rPr>
              <w:t>1</w:t>
            </w:r>
          </w:p>
        </w:tc>
        <w:tc>
          <w:tcPr>
            <w:tcW w:w="1771" w:type="dxa"/>
          </w:tcPr>
          <w:p w:rsidR="003613A8" w:rsidRDefault="00085959" w:rsidP="003613A8">
            <w:pPr>
              <w:jc w:val="center"/>
              <w:cnfStyle w:val="000000000000"/>
            </w:pPr>
            <w:r>
              <w:t>1.6</w:t>
            </w:r>
          </w:p>
        </w:tc>
        <w:tc>
          <w:tcPr>
            <w:tcW w:w="1771" w:type="dxa"/>
          </w:tcPr>
          <w:p w:rsidR="003613A8" w:rsidRDefault="003613A8" w:rsidP="003613A8">
            <w:pPr>
              <w:jc w:val="center"/>
              <w:cnfStyle w:val="000000000000"/>
            </w:pPr>
            <w:r>
              <w:t>-</w:t>
            </w:r>
          </w:p>
        </w:tc>
      </w:tr>
      <w:tr w:rsidR="003613A8">
        <w:trPr>
          <w:cantSplit/>
          <w:jc w:val="center"/>
        </w:trPr>
        <w:tc>
          <w:tcPr>
            <w:cnfStyle w:val="001000000000"/>
            <w:tcW w:w="1771" w:type="dxa"/>
          </w:tcPr>
          <w:p w:rsidR="003613A8" w:rsidRPr="00906695" w:rsidRDefault="003613A8" w:rsidP="003613A8">
            <w:pPr>
              <w:jc w:val="center"/>
              <w:rPr>
                <w:b w:val="0"/>
              </w:rPr>
            </w:pPr>
            <w:r w:rsidRPr="00906695">
              <w:rPr>
                <w:b w:val="0"/>
              </w:rPr>
              <w:t>250</w:t>
            </w:r>
          </w:p>
        </w:tc>
        <w:tc>
          <w:tcPr>
            <w:tcW w:w="1771" w:type="dxa"/>
          </w:tcPr>
          <w:p w:rsidR="003613A8" w:rsidRDefault="00085959" w:rsidP="003613A8">
            <w:pPr>
              <w:jc w:val="center"/>
              <w:cnfStyle w:val="000000000000"/>
            </w:pPr>
            <w:r>
              <w:t>8</w:t>
            </w:r>
          </w:p>
        </w:tc>
        <w:tc>
          <w:tcPr>
            <w:tcW w:w="1771" w:type="dxa"/>
          </w:tcPr>
          <w:p w:rsidR="003613A8" w:rsidRDefault="003613A8" w:rsidP="003613A8">
            <w:pPr>
              <w:jc w:val="center"/>
              <w:cnfStyle w:val="000000000000"/>
            </w:pPr>
            <w:r>
              <w:t>75</w:t>
            </w:r>
          </w:p>
        </w:tc>
      </w:tr>
      <w:tr w:rsidR="003613A8">
        <w:trPr>
          <w:cantSplit/>
          <w:jc w:val="center"/>
        </w:trPr>
        <w:tc>
          <w:tcPr>
            <w:cnfStyle w:val="001000000000"/>
            <w:tcW w:w="1771" w:type="dxa"/>
          </w:tcPr>
          <w:p w:rsidR="003613A8" w:rsidRPr="00906695" w:rsidRDefault="003613A8" w:rsidP="003613A8">
            <w:pPr>
              <w:jc w:val="center"/>
              <w:rPr>
                <w:b w:val="0"/>
              </w:rPr>
            </w:pPr>
            <w:r w:rsidRPr="00906695">
              <w:rPr>
                <w:b w:val="0"/>
              </w:rPr>
              <w:t>500</w:t>
            </w:r>
          </w:p>
        </w:tc>
        <w:tc>
          <w:tcPr>
            <w:tcW w:w="1771" w:type="dxa"/>
          </w:tcPr>
          <w:p w:rsidR="003613A8" w:rsidRDefault="00085959" w:rsidP="003613A8">
            <w:pPr>
              <w:jc w:val="center"/>
              <w:cnfStyle w:val="000000000000"/>
            </w:pPr>
            <w:r>
              <w:t>16</w:t>
            </w:r>
          </w:p>
        </w:tc>
        <w:tc>
          <w:tcPr>
            <w:tcW w:w="1771" w:type="dxa"/>
          </w:tcPr>
          <w:p w:rsidR="003613A8" w:rsidRDefault="003613A8" w:rsidP="003613A8">
            <w:pPr>
              <w:jc w:val="center"/>
              <w:cnfStyle w:val="000000000000"/>
            </w:pPr>
            <w:r>
              <w:t>260</w:t>
            </w:r>
          </w:p>
        </w:tc>
      </w:tr>
      <w:tr w:rsidR="003613A8">
        <w:trPr>
          <w:cantSplit/>
          <w:jc w:val="center"/>
        </w:trPr>
        <w:tc>
          <w:tcPr>
            <w:cnfStyle w:val="001000000000"/>
            <w:tcW w:w="1771" w:type="dxa"/>
          </w:tcPr>
          <w:p w:rsidR="003613A8" w:rsidRPr="00906695" w:rsidRDefault="003613A8" w:rsidP="003613A8">
            <w:pPr>
              <w:jc w:val="center"/>
              <w:rPr>
                <w:b w:val="0"/>
              </w:rPr>
            </w:pPr>
            <w:r w:rsidRPr="00906695">
              <w:rPr>
                <w:b w:val="0"/>
              </w:rPr>
              <w:t>1000</w:t>
            </w:r>
          </w:p>
        </w:tc>
        <w:tc>
          <w:tcPr>
            <w:tcW w:w="1771" w:type="dxa"/>
          </w:tcPr>
          <w:p w:rsidR="003613A8" w:rsidRDefault="003613A8" w:rsidP="00085959">
            <w:pPr>
              <w:jc w:val="center"/>
              <w:cnfStyle w:val="000000000000"/>
            </w:pPr>
            <w:r>
              <w:t>32</w:t>
            </w:r>
          </w:p>
        </w:tc>
        <w:tc>
          <w:tcPr>
            <w:tcW w:w="1771" w:type="dxa"/>
          </w:tcPr>
          <w:p w:rsidR="003613A8" w:rsidRDefault="003613A8" w:rsidP="003613A8">
            <w:pPr>
              <w:jc w:val="center"/>
              <w:cnfStyle w:val="000000000000"/>
            </w:pPr>
            <w:r>
              <w:t>1020</w:t>
            </w:r>
          </w:p>
        </w:tc>
      </w:tr>
      <w:tr w:rsidR="003613A8">
        <w:trPr>
          <w:cantSplit/>
          <w:jc w:val="center"/>
        </w:trPr>
        <w:tc>
          <w:tcPr>
            <w:cnfStyle w:val="001000000000"/>
            <w:tcW w:w="1771" w:type="dxa"/>
          </w:tcPr>
          <w:p w:rsidR="003613A8" w:rsidRPr="00906695" w:rsidRDefault="003613A8" w:rsidP="003613A8">
            <w:pPr>
              <w:jc w:val="center"/>
              <w:rPr>
                <w:b w:val="0"/>
              </w:rPr>
            </w:pPr>
            <w:r w:rsidRPr="00906695">
              <w:rPr>
                <w:b w:val="0"/>
              </w:rPr>
              <w:t>2000</w:t>
            </w:r>
          </w:p>
        </w:tc>
        <w:tc>
          <w:tcPr>
            <w:tcW w:w="1771" w:type="dxa"/>
          </w:tcPr>
          <w:p w:rsidR="003613A8" w:rsidRDefault="00085959" w:rsidP="003613A8">
            <w:pPr>
              <w:jc w:val="center"/>
              <w:cnfStyle w:val="000000000000"/>
            </w:pPr>
            <w:r>
              <w:t>65</w:t>
            </w:r>
          </w:p>
        </w:tc>
        <w:tc>
          <w:tcPr>
            <w:tcW w:w="1771" w:type="dxa"/>
          </w:tcPr>
          <w:p w:rsidR="003613A8" w:rsidRDefault="003613A8" w:rsidP="003613A8">
            <w:pPr>
              <w:keepNext/>
              <w:jc w:val="center"/>
              <w:cnfStyle w:val="000000000000"/>
            </w:pPr>
            <w:r>
              <w:t>3900</w:t>
            </w:r>
          </w:p>
        </w:tc>
      </w:tr>
    </w:tbl>
    <w:p w:rsidR="003613A8" w:rsidRPr="003613A8" w:rsidRDefault="003613A8" w:rsidP="00944C50">
      <w:pPr>
        <w:pStyle w:val="Caption"/>
        <w:jc w:val="center"/>
      </w:pPr>
      <w:r>
        <w:t xml:space="preserve">Table </w:t>
      </w:r>
      <w:fldSimple w:instr=" SEQ Table \* ARABIC ">
        <w:r w:rsidR="00955856">
          <w:rPr>
            <w:noProof/>
          </w:rPr>
          <w:t>1</w:t>
        </w:r>
      </w:fldSimple>
      <w:r>
        <w:t xml:space="preserve">: Minimum detectable air leak for </w:t>
      </w:r>
      <w:r w:rsidR="000068A8">
        <w:t xml:space="preserve">MSLD </w:t>
      </w:r>
      <w:r>
        <w:t>readout deflection of 3x10</w:t>
      </w:r>
      <w:r w:rsidRPr="00906695">
        <w:rPr>
          <w:vertAlign w:val="superscript"/>
        </w:rPr>
        <w:t>-10</w:t>
      </w:r>
      <w:r>
        <w:t xml:space="preserve"> </w:t>
      </w:r>
      <w:proofErr w:type="spellStart"/>
      <w:r>
        <w:t>Tl</w:t>
      </w:r>
      <w:proofErr w:type="spellEnd"/>
      <w:r>
        <w:t>/s, assuming exterior is flooded with 10% He concentration for 30 seconds.</w:t>
      </w:r>
    </w:p>
    <w:p w:rsidR="003613A8" w:rsidRDefault="003613A8" w:rsidP="003613A8"/>
    <w:p w:rsidR="00342194" w:rsidRPr="003613A8" w:rsidRDefault="00342194" w:rsidP="003613A8"/>
    <w:p w:rsidR="00662DDD" w:rsidRDefault="003613A8" w:rsidP="00917F3B">
      <w:pPr>
        <w:pStyle w:val="RegPara"/>
        <w:jc w:val="both"/>
      </w:pPr>
      <w:r>
        <w:rPr>
          <w:b/>
        </w:rPr>
        <w:t xml:space="preserve">Experimental </w:t>
      </w:r>
      <w:r w:rsidR="00AE6A0D">
        <w:rPr>
          <w:b/>
        </w:rPr>
        <w:t>test</w:t>
      </w:r>
      <w:r w:rsidR="006B029A" w:rsidRPr="006B029A">
        <w:rPr>
          <w:b/>
        </w:rPr>
        <w:t>:</w:t>
      </w:r>
      <w:r w:rsidR="006B029A">
        <w:t xml:space="preserve"> The recorded leak detector response is shown in Figure</w:t>
      </w:r>
      <w:r w:rsidR="003606CE">
        <w:t>s</w:t>
      </w:r>
      <w:r w:rsidR="006B029A">
        <w:t xml:space="preserve"> </w:t>
      </w:r>
      <w:r w:rsidR="00376C04">
        <w:t>2</w:t>
      </w:r>
      <w:r w:rsidR="00124D94">
        <w:t xml:space="preserve">, </w:t>
      </w:r>
      <w:r w:rsidR="006B029A">
        <w:t xml:space="preserve">along with the range of </w:t>
      </w:r>
      <w:r w:rsidR="00137F7C">
        <w:t xml:space="preserve">model </w:t>
      </w:r>
      <w:r w:rsidR="006B029A">
        <w:t>pred</w:t>
      </w:r>
      <w:r w:rsidR="00137F7C">
        <w:t>iction</w:t>
      </w:r>
      <w:r w:rsidR="00AE6A0D">
        <w:t>s</w:t>
      </w:r>
      <w:r w:rsidR="00124D94">
        <w:t xml:space="preserve"> after</w:t>
      </w:r>
      <w:r w:rsidR="00137F7C">
        <w:t xml:space="preserve"> combining in </w:t>
      </w:r>
      <w:proofErr w:type="spellStart"/>
      <w:r w:rsidR="00137F7C">
        <w:t>quadrature</w:t>
      </w:r>
      <w:proofErr w:type="spellEnd"/>
      <w:r w:rsidR="00AE6A0D">
        <w:t xml:space="preserve"> various</w:t>
      </w:r>
      <w:r w:rsidR="00137F7C">
        <w:t xml:space="preserve"> </w:t>
      </w:r>
      <w:r w:rsidR="006B029A">
        <w:t>estimated errors</w:t>
      </w:r>
      <w:r w:rsidR="00AE6A0D">
        <w:t xml:space="preserve"> d</w:t>
      </w:r>
      <w:r w:rsidR="00124D94">
        <w:t>escrib</w:t>
      </w:r>
      <w:r w:rsidR="00AE6A0D">
        <w:t>ed above</w:t>
      </w:r>
      <w:r w:rsidR="006B029A">
        <w:t xml:space="preserve">. </w:t>
      </w:r>
      <w:r w:rsidR="0055110B">
        <w:t xml:space="preserve"> The time </w:t>
      </w:r>
      <w:r w:rsidR="003606CE">
        <w:t>stamp</w:t>
      </w:r>
      <w:r w:rsidR="0055110B">
        <w:t xml:space="preserve"> of the data logger was only recorded to ~ minute </w:t>
      </w:r>
      <w:r w:rsidR="000068A8">
        <w:t>precision</w:t>
      </w:r>
      <w:r w:rsidR="003606CE">
        <w:t>, so</w:t>
      </w:r>
      <w:r w:rsidR="0055110B">
        <w:t xml:space="preserve"> the model </w:t>
      </w:r>
      <w:r w:rsidR="00085959">
        <w:t xml:space="preserve">abscissa </w:t>
      </w:r>
      <w:r w:rsidR="0055110B">
        <w:t xml:space="preserve">was </w:t>
      </w:r>
      <w:r w:rsidR="0087695C">
        <w:t>time-</w:t>
      </w:r>
      <w:r w:rsidR="0055110B">
        <w:t xml:space="preserve">shifted to coincide with the observed </w:t>
      </w:r>
      <w:r w:rsidR="003606CE">
        <w:t>onset</w:t>
      </w:r>
      <w:r w:rsidR="0055110B">
        <w:t xml:space="preserve">. </w:t>
      </w:r>
    </w:p>
    <w:p w:rsidR="00AE6A0D" w:rsidRDefault="00AE6A0D" w:rsidP="00917F3B">
      <w:pPr>
        <w:pStyle w:val="RegPara"/>
        <w:jc w:val="both"/>
      </w:pPr>
    </w:p>
    <w:p w:rsidR="00AE6A0D" w:rsidRDefault="0058216A" w:rsidP="00AE6A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Overall </w:t>
      </w:r>
      <w:r w:rsidR="00AE6A0D" w:rsidRPr="009663A1">
        <w:rPr>
          <w:sz w:val="24"/>
          <w:szCs w:val="24"/>
        </w:rPr>
        <w:t xml:space="preserve">the </w:t>
      </w:r>
      <w:r w:rsidR="00AE6A0D">
        <w:rPr>
          <w:sz w:val="24"/>
          <w:szCs w:val="24"/>
        </w:rPr>
        <w:t xml:space="preserve">observed </w:t>
      </w:r>
      <w:r w:rsidR="00AE6A0D" w:rsidRPr="009663A1">
        <w:rPr>
          <w:sz w:val="24"/>
          <w:szCs w:val="24"/>
        </w:rPr>
        <w:t xml:space="preserve">response </w:t>
      </w:r>
      <w:r w:rsidR="00944C50">
        <w:rPr>
          <w:sz w:val="24"/>
          <w:szCs w:val="24"/>
        </w:rPr>
        <w:t xml:space="preserve">magnitude </w:t>
      </w:r>
      <w:r>
        <w:rPr>
          <w:sz w:val="24"/>
          <w:szCs w:val="24"/>
        </w:rPr>
        <w:t>conforms</w:t>
      </w:r>
      <w:r w:rsidR="00944C50">
        <w:rPr>
          <w:sz w:val="24"/>
          <w:szCs w:val="24"/>
        </w:rPr>
        <w:t xml:space="preserve"> </w:t>
      </w:r>
      <w:r w:rsidR="006A447A">
        <w:rPr>
          <w:sz w:val="24"/>
          <w:szCs w:val="24"/>
        </w:rPr>
        <w:t>within errors</w:t>
      </w:r>
      <w:r w:rsidR="00AE6A0D" w:rsidRPr="009663A1">
        <w:rPr>
          <w:sz w:val="24"/>
          <w:szCs w:val="24"/>
        </w:rPr>
        <w:t xml:space="preserve">. However there </w:t>
      </w:r>
      <w:r w:rsidR="00AE6A0D">
        <w:rPr>
          <w:sz w:val="24"/>
          <w:szCs w:val="24"/>
        </w:rPr>
        <w:t>seem</w:t>
      </w:r>
      <w:r w:rsidR="00AE6A0D" w:rsidRPr="009663A1">
        <w:rPr>
          <w:sz w:val="24"/>
          <w:szCs w:val="24"/>
        </w:rPr>
        <w:t xml:space="preserve">s to be an </w:t>
      </w:r>
      <w:proofErr w:type="spellStart"/>
      <w:r w:rsidR="00AE6A0D" w:rsidRPr="009663A1">
        <w:rPr>
          <w:sz w:val="24"/>
          <w:szCs w:val="24"/>
        </w:rPr>
        <w:t>unmodeled</w:t>
      </w:r>
      <w:proofErr w:type="spellEnd"/>
      <w:r w:rsidR="00AE6A0D" w:rsidRPr="009663A1">
        <w:rPr>
          <w:sz w:val="24"/>
          <w:szCs w:val="24"/>
        </w:rPr>
        <w:t xml:space="preserve"> filter </w:t>
      </w:r>
      <w:r w:rsidR="00AE6A0D">
        <w:rPr>
          <w:sz w:val="24"/>
          <w:szCs w:val="24"/>
        </w:rPr>
        <w:t xml:space="preserve">characteristic in </w:t>
      </w:r>
      <w:r w:rsidR="00AE6A0D" w:rsidRPr="009663A1">
        <w:rPr>
          <w:sz w:val="24"/>
          <w:szCs w:val="24"/>
        </w:rPr>
        <w:t xml:space="preserve">the gas dynamics or </w:t>
      </w:r>
      <w:r w:rsidR="00AE6A0D">
        <w:rPr>
          <w:sz w:val="24"/>
          <w:szCs w:val="24"/>
        </w:rPr>
        <w:t xml:space="preserve">in </w:t>
      </w:r>
      <w:r w:rsidR="00AE6A0D" w:rsidRPr="009663A1">
        <w:rPr>
          <w:sz w:val="24"/>
          <w:szCs w:val="24"/>
        </w:rPr>
        <w:t xml:space="preserve">the leak detector/data logger response </w:t>
      </w:r>
      <w:r w:rsidR="00124D94">
        <w:rPr>
          <w:sz w:val="24"/>
          <w:szCs w:val="24"/>
        </w:rPr>
        <w:t>(Figure 3)</w:t>
      </w:r>
      <w:r w:rsidR="00AE6A0D" w:rsidRPr="009663A1">
        <w:rPr>
          <w:sz w:val="24"/>
          <w:szCs w:val="24"/>
        </w:rPr>
        <w:t xml:space="preserve">. This is inferred from </w:t>
      </w:r>
      <w:r w:rsidR="00AE6A0D">
        <w:rPr>
          <w:sz w:val="24"/>
          <w:szCs w:val="24"/>
        </w:rPr>
        <w:t xml:space="preserve">an </w:t>
      </w:r>
      <w:r w:rsidR="00AE6A0D" w:rsidRPr="009663A1">
        <w:rPr>
          <w:sz w:val="24"/>
          <w:szCs w:val="24"/>
        </w:rPr>
        <w:t>observed delay in the peak response (about 2 minutes</w:t>
      </w:r>
      <w:r w:rsidR="00124D94">
        <w:rPr>
          <w:sz w:val="24"/>
          <w:szCs w:val="24"/>
        </w:rPr>
        <w:t>,</w:t>
      </w:r>
      <w:r w:rsidR="00AE6A0D" w:rsidRPr="009663A1">
        <w:rPr>
          <w:sz w:val="24"/>
          <w:szCs w:val="24"/>
        </w:rPr>
        <w:t xml:space="preserve"> vs. </w:t>
      </w:r>
      <w:r w:rsidR="00AE6A0D">
        <w:rPr>
          <w:sz w:val="24"/>
          <w:szCs w:val="24"/>
        </w:rPr>
        <w:t xml:space="preserve">~ </w:t>
      </w:r>
      <w:r w:rsidR="00AE6A0D" w:rsidRPr="009663A1">
        <w:rPr>
          <w:sz w:val="24"/>
          <w:szCs w:val="24"/>
        </w:rPr>
        <w:t xml:space="preserve">one expected), and </w:t>
      </w:r>
      <w:r w:rsidR="00085959">
        <w:rPr>
          <w:sz w:val="24"/>
          <w:szCs w:val="24"/>
        </w:rPr>
        <w:t>from apparent</w:t>
      </w:r>
      <w:r w:rsidR="00AE6A0D" w:rsidRPr="009663A1">
        <w:rPr>
          <w:sz w:val="24"/>
          <w:szCs w:val="24"/>
        </w:rPr>
        <w:t xml:space="preserve"> attenuation of the initial pe</w:t>
      </w:r>
      <w:r w:rsidR="00085959">
        <w:rPr>
          <w:sz w:val="24"/>
          <w:szCs w:val="24"/>
        </w:rPr>
        <w:t xml:space="preserve">ak </w:t>
      </w:r>
      <w:r w:rsidR="00944C50">
        <w:rPr>
          <w:sz w:val="24"/>
          <w:szCs w:val="24"/>
        </w:rPr>
        <w:t xml:space="preserve">height </w:t>
      </w:r>
      <w:r w:rsidR="00085959">
        <w:rPr>
          <w:sz w:val="24"/>
          <w:szCs w:val="24"/>
        </w:rPr>
        <w:t xml:space="preserve">with respect to the asymptotic </w:t>
      </w:r>
      <w:r w:rsidR="00944C50">
        <w:rPr>
          <w:sz w:val="24"/>
          <w:szCs w:val="24"/>
        </w:rPr>
        <w:t xml:space="preserve">diffusion </w:t>
      </w:r>
      <w:r w:rsidR="00085959">
        <w:rPr>
          <w:sz w:val="24"/>
          <w:szCs w:val="24"/>
        </w:rPr>
        <w:t>tail</w:t>
      </w:r>
      <w:r w:rsidR="00AE6A0D" w:rsidRPr="009663A1">
        <w:rPr>
          <w:sz w:val="24"/>
          <w:szCs w:val="24"/>
        </w:rPr>
        <w:t xml:space="preserve">.  </w:t>
      </w:r>
    </w:p>
    <w:p w:rsidR="00AE6A0D" w:rsidRDefault="00AE6A0D" w:rsidP="00AE6A0D">
      <w:pPr>
        <w:jc w:val="both"/>
        <w:rPr>
          <w:sz w:val="24"/>
          <w:szCs w:val="24"/>
        </w:rPr>
      </w:pPr>
    </w:p>
    <w:p w:rsidR="00AE6A0D" w:rsidRDefault="00AE6A0D" w:rsidP="00AE6A0D">
      <w:pPr>
        <w:jc w:val="both"/>
        <w:rPr>
          <w:sz w:val="24"/>
          <w:szCs w:val="24"/>
        </w:rPr>
      </w:pPr>
      <w:r w:rsidRPr="009663A1">
        <w:rPr>
          <w:sz w:val="24"/>
          <w:szCs w:val="24"/>
        </w:rPr>
        <w:t xml:space="preserve">Another </w:t>
      </w:r>
      <w:r>
        <w:rPr>
          <w:sz w:val="24"/>
          <w:szCs w:val="24"/>
        </w:rPr>
        <w:t>systematic</w:t>
      </w:r>
      <w:r w:rsidRPr="009663A1">
        <w:rPr>
          <w:sz w:val="24"/>
          <w:szCs w:val="24"/>
        </w:rPr>
        <w:t xml:space="preserve"> effect </w:t>
      </w:r>
      <w:r w:rsidR="00124D94">
        <w:rPr>
          <w:sz w:val="24"/>
          <w:szCs w:val="24"/>
        </w:rPr>
        <w:t>may also distort</w:t>
      </w:r>
      <w:r>
        <w:rPr>
          <w:sz w:val="24"/>
          <w:szCs w:val="24"/>
        </w:rPr>
        <w:t xml:space="preserve"> th</w:t>
      </w:r>
      <w:r w:rsidR="00342194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124D94">
        <w:rPr>
          <w:sz w:val="24"/>
          <w:szCs w:val="24"/>
        </w:rPr>
        <w:t>asy</w:t>
      </w:r>
      <w:r w:rsidR="00085959">
        <w:rPr>
          <w:sz w:val="24"/>
          <w:szCs w:val="24"/>
        </w:rPr>
        <w:t xml:space="preserve">mptote. </w:t>
      </w:r>
      <w:r>
        <w:rPr>
          <w:sz w:val="24"/>
          <w:szCs w:val="24"/>
        </w:rPr>
        <w:t>A</w:t>
      </w:r>
      <w:r w:rsidRPr="009663A1">
        <w:rPr>
          <w:sz w:val="24"/>
          <w:szCs w:val="24"/>
        </w:rPr>
        <w:t xml:space="preserve">fter </w:t>
      </w:r>
      <w:r w:rsidR="00342194">
        <w:rPr>
          <w:sz w:val="24"/>
          <w:szCs w:val="24"/>
        </w:rPr>
        <w:t xml:space="preserve">intermittent </w:t>
      </w:r>
      <w:r w:rsidRPr="009663A1">
        <w:rPr>
          <w:sz w:val="24"/>
          <w:szCs w:val="24"/>
        </w:rPr>
        <w:t>He exposure</w:t>
      </w:r>
      <w:r>
        <w:rPr>
          <w:sz w:val="24"/>
          <w:szCs w:val="24"/>
        </w:rPr>
        <w:t>,</w:t>
      </w:r>
      <w:r w:rsidRPr="009663A1">
        <w:rPr>
          <w:sz w:val="24"/>
          <w:szCs w:val="24"/>
        </w:rPr>
        <w:t xml:space="preserve"> the </w:t>
      </w:r>
      <w:r w:rsidR="00085959">
        <w:rPr>
          <w:sz w:val="24"/>
          <w:szCs w:val="24"/>
        </w:rPr>
        <w:t>MSLD</w:t>
      </w:r>
      <w:r w:rsidRPr="009663A1">
        <w:rPr>
          <w:sz w:val="24"/>
          <w:szCs w:val="24"/>
        </w:rPr>
        <w:t xml:space="preserve"> background </w:t>
      </w:r>
      <w:r w:rsidR="006A447A">
        <w:rPr>
          <w:sz w:val="24"/>
          <w:szCs w:val="24"/>
        </w:rPr>
        <w:t xml:space="preserve">is </w:t>
      </w:r>
      <w:r w:rsidR="00124D94">
        <w:rPr>
          <w:sz w:val="24"/>
          <w:szCs w:val="24"/>
        </w:rPr>
        <w:t xml:space="preserve">sometimes </w:t>
      </w:r>
      <w:r w:rsidR="006A447A">
        <w:rPr>
          <w:sz w:val="24"/>
          <w:szCs w:val="24"/>
        </w:rPr>
        <w:t>found</w:t>
      </w:r>
      <w:r w:rsidRPr="009663A1">
        <w:rPr>
          <w:sz w:val="24"/>
          <w:szCs w:val="24"/>
        </w:rPr>
        <w:t xml:space="preserve"> elevated </w:t>
      </w:r>
      <w:r w:rsidR="00124D94">
        <w:rPr>
          <w:sz w:val="24"/>
          <w:szCs w:val="24"/>
        </w:rPr>
        <w:t>above</w:t>
      </w:r>
      <w:r w:rsidR="00342194">
        <w:rPr>
          <w:sz w:val="24"/>
          <w:szCs w:val="24"/>
        </w:rPr>
        <w:t xml:space="preserve"> the</w:t>
      </w:r>
      <w:r w:rsidR="00124D94">
        <w:rPr>
          <w:sz w:val="24"/>
          <w:szCs w:val="24"/>
        </w:rPr>
        <w:t xml:space="preserve"> prior baseline </w:t>
      </w:r>
      <w:r w:rsidR="00342194">
        <w:rPr>
          <w:sz w:val="24"/>
          <w:szCs w:val="24"/>
        </w:rPr>
        <w:t>for tens of minutes</w:t>
      </w:r>
      <w:r w:rsidRPr="009663A1">
        <w:rPr>
          <w:sz w:val="24"/>
          <w:szCs w:val="24"/>
        </w:rPr>
        <w:t xml:space="preserve">. This </w:t>
      </w:r>
      <w:r>
        <w:rPr>
          <w:sz w:val="24"/>
          <w:szCs w:val="24"/>
        </w:rPr>
        <w:t xml:space="preserve">hysteresis </w:t>
      </w:r>
      <w:r w:rsidR="006A447A">
        <w:rPr>
          <w:sz w:val="24"/>
          <w:szCs w:val="24"/>
        </w:rPr>
        <w:t>has been</w:t>
      </w:r>
      <w:r w:rsidRPr="009663A1">
        <w:rPr>
          <w:sz w:val="24"/>
          <w:szCs w:val="24"/>
        </w:rPr>
        <w:t xml:space="preserve"> attributed to absorption and delayed reemission of gas by </w:t>
      </w:r>
      <w:proofErr w:type="spellStart"/>
      <w:r w:rsidRPr="009663A1">
        <w:rPr>
          <w:sz w:val="24"/>
          <w:szCs w:val="24"/>
        </w:rPr>
        <w:t>elastomer</w:t>
      </w:r>
      <w:proofErr w:type="spellEnd"/>
      <w:r w:rsidRPr="009663A1">
        <w:rPr>
          <w:sz w:val="24"/>
          <w:szCs w:val="24"/>
        </w:rPr>
        <w:t xml:space="preserve"> seals in</w:t>
      </w:r>
      <w:r w:rsidR="0069323F">
        <w:rPr>
          <w:sz w:val="24"/>
          <w:szCs w:val="24"/>
        </w:rPr>
        <w:t>side</w:t>
      </w:r>
      <w:r w:rsidRPr="009663A1">
        <w:rPr>
          <w:sz w:val="24"/>
          <w:szCs w:val="24"/>
        </w:rPr>
        <w:t xml:space="preserve"> the machine</w:t>
      </w:r>
      <w:r w:rsidR="00085959">
        <w:rPr>
          <w:sz w:val="24"/>
          <w:szCs w:val="24"/>
        </w:rPr>
        <w:t xml:space="preserve">, and would tend to “flatten” the apparent </w:t>
      </w:r>
      <w:r w:rsidR="00124D94">
        <w:rPr>
          <w:sz w:val="24"/>
          <w:szCs w:val="24"/>
        </w:rPr>
        <w:t xml:space="preserve">transient </w:t>
      </w:r>
      <w:r w:rsidR="00085959">
        <w:rPr>
          <w:sz w:val="24"/>
          <w:szCs w:val="24"/>
        </w:rPr>
        <w:t>recovery</w:t>
      </w:r>
      <w:r w:rsidRPr="009663A1">
        <w:rPr>
          <w:sz w:val="24"/>
          <w:szCs w:val="24"/>
        </w:rPr>
        <w:t xml:space="preserve">. </w:t>
      </w:r>
    </w:p>
    <w:p w:rsidR="00944C50" w:rsidRDefault="00944C50" w:rsidP="00AE6A0D">
      <w:pPr>
        <w:jc w:val="both"/>
        <w:rPr>
          <w:sz w:val="24"/>
          <w:szCs w:val="24"/>
        </w:rPr>
      </w:pPr>
    </w:p>
    <w:p w:rsidR="00944C50" w:rsidRDefault="00944C50" w:rsidP="00AE6A0D">
      <w:pPr>
        <w:jc w:val="both"/>
        <w:rPr>
          <w:sz w:val="24"/>
          <w:szCs w:val="24"/>
        </w:rPr>
      </w:pPr>
    </w:p>
    <w:p w:rsidR="00944C50" w:rsidRDefault="00944C50" w:rsidP="00944C50">
      <w:pPr>
        <w:keepNext/>
        <w:jc w:val="center"/>
      </w:pPr>
      <w:r>
        <w:rPr>
          <w:noProof/>
        </w:rPr>
        <w:drawing>
          <wp:inline distT="0" distB="0" distL="0" distR="0">
            <wp:extent cx="5315504" cy="4834467"/>
            <wp:effectExtent l="0" t="0" r="0" b="0"/>
            <wp:docPr id="6" name="Picture 6" descr="Macintosh HD:Users:mike:Documents:Vacuum:LLO_YLEAK:injection_15may13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ike:Documents:Vacuum:LLO_YLEAK:injection_15may13.pdf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l="464" t="13844" r="468" b="16585"/>
                    <a:stretch/>
                  </pic:blipFill>
                  <pic:spPr bwMode="auto">
                    <a:xfrm>
                      <a:off x="0" y="0"/>
                      <a:ext cx="5316880" cy="483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44C50" w:rsidRPr="00342194" w:rsidRDefault="00944C50" w:rsidP="00342194">
      <w:pPr>
        <w:pStyle w:val="Caption"/>
        <w:jc w:val="center"/>
      </w:pPr>
      <w:r>
        <w:t xml:space="preserve">Figure </w:t>
      </w:r>
      <w:fldSimple w:instr=" SEQ Figure \* ARABIC ">
        <w:r w:rsidR="00955856">
          <w:rPr>
            <w:noProof/>
          </w:rPr>
          <w:t>2</w:t>
        </w:r>
      </w:fldSimple>
      <w:r>
        <w:t>:</w:t>
      </w:r>
      <w:r w:rsidRPr="005A668D">
        <w:t xml:space="preserve"> </w:t>
      </w:r>
      <w:r>
        <w:t xml:space="preserve">Leak detector response to 30 second calibrated injection of helium test gas at </w:t>
      </w:r>
      <w:r w:rsidRPr="000068A8">
        <w:rPr>
          <w:i/>
        </w:rPr>
        <w:t>z</w:t>
      </w:r>
      <w:r>
        <w:t xml:space="preserve"> = 250 meters (pink circles).  Also plotted is predicted response from diffusion model (solid blue) and approximate standard error margins (dash-dot red and green).</w:t>
      </w:r>
    </w:p>
    <w:p w:rsidR="00AE6A0D" w:rsidRDefault="00AE6A0D" w:rsidP="00AE6A0D">
      <w:pPr>
        <w:jc w:val="both"/>
        <w:rPr>
          <w:sz w:val="24"/>
          <w:szCs w:val="24"/>
        </w:rPr>
      </w:pPr>
    </w:p>
    <w:p w:rsidR="00AE6A0D" w:rsidRDefault="0058216A" w:rsidP="00AE6A0D">
      <w:pPr>
        <w:jc w:val="both"/>
        <w:rPr>
          <w:sz w:val="24"/>
          <w:szCs w:val="24"/>
        </w:rPr>
      </w:pPr>
      <w:r w:rsidRPr="0058216A">
        <w:rPr>
          <w:b/>
          <w:sz w:val="24"/>
          <w:szCs w:val="24"/>
        </w:rPr>
        <w:t>Discussion:</w:t>
      </w:r>
      <w:r>
        <w:rPr>
          <w:sz w:val="24"/>
          <w:szCs w:val="24"/>
        </w:rPr>
        <w:t xml:space="preserve"> </w:t>
      </w:r>
      <w:r w:rsidR="00AE6A0D">
        <w:rPr>
          <w:sz w:val="24"/>
          <w:szCs w:val="24"/>
        </w:rPr>
        <w:t xml:space="preserve">As shown in Figure 1, </w:t>
      </w:r>
      <w:r w:rsidR="00085959">
        <w:rPr>
          <w:sz w:val="24"/>
          <w:szCs w:val="24"/>
        </w:rPr>
        <w:t>the model</w:t>
      </w:r>
      <w:r w:rsidR="00AE6A0D">
        <w:rPr>
          <w:sz w:val="24"/>
          <w:szCs w:val="24"/>
        </w:rPr>
        <w:t>ed response is down by a factor of five between z = 10m and z = 250m, and falls a further factor of two at z = 500m. The added systematic delay seen here, if it can’t be eliminated, further degrades the sensitivity of tests monitored far from the injection site.</w:t>
      </w:r>
    </w:p>
    <w:p w:rsidR="00AE6A0D" w:rsidRDefault="00AE6A0D" w:rsidP="00917F3B">
      <w:pPr>
        <w:pStyle w:val="RegPara"/>
        <w:jc w:val="both"/>
      </w:pPr>
    </w:p>
    <w:p w:rsidR="00E777BB" w:rsidRDefault="00E777BB" w:rsidP="00E777BB"/>
    <w:p w:rsidR="00342194" w:rsidRDefault="005A668D" w:rsidP="00342194">
      <w:pPr>
        <w:pStyle w:val="Caption"/>
        <w:jc w:val="center"/>
      </w:pPr>
      <w:r>
        <w:rPr>
          <w:noProof/>
        </w:rPr>
        <w:drawing>
          <wp:inline distT="0" distB="0" distL="0" distR="0">
            <wp:extent cx="5057560" cy="4563534"/>
            <wp:effectExtent l="0" t="0" r="0" b="8890"/>
            <wp:docPr id="8" name="Picture 8" descr="Macintosh HD:Users:mike:Documents:Vacuum:LLO_YLEAK:injection_15may13_zoom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mike:Documents:Vacuum:LLO_YLEAK:injection_15may13_zoom.pdf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t="14321" r="1855" b="17301"/>
                    <a:stretch/>
                  </pic:blipFill>
                  <pic:spPr bwMode="auto">
                    <a:xfrm>
                      <a:off x="0" y="0"/>
                      <a:ext cx="5058043" cy="456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37F7C" w:rsidRDefault="005A668D" w:rsidP="00342194">
      <w:pPr>
        <w:pStyle w:val="Caption"/>
        <w:jc w:val="center"/>
      </w:pPr>
      <w:r>
        <w:t xml:space="preserve">Figure </w:t>
      </w:r>
      <w:fldSimple w:instr=" SEQ Figure \* ARABIC ">
        <w:r w:rsidR="00955856">
          <w:rPr>
            <w:noProof/>
          </w:rPr>
          <w:t>3</w:t>
        </w:r>
      </w:fldSimple>
      <w:r>
        <w:t>:  Magnif</w:t>
      </w:r>
      <w:r w:rsidR="00B875BD">
        <w:t>ied view of first three minutes, highlighting apparent transient response model discrepancy.</w:t>
      </w:r>
    </w:p>
    <w:p w:rsidR="00342194" w:rsidRPr="00342194" w:rsidRDefault="00342194" w:rsidP="00342194"/>
    <w:p w:rsidR="006A447A" w:rsidRDefault="00C83DC4" w:rsidP="009663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 this </w:t>
      </w:r>
      <w:r w:rsidR="0069038E">
        <w:rPr>
          <w:sz w:val="24"/>
          <w:szCs w:val="24"/>
        </w:rPr>
        <w:t>writing</w:t>
      </w:r>
      <w:r>
        <w:rPr>
          <w:sz w:val="24"/>
          <w:szCs w:val="24"/>
        </w:rPr>
        <w:t xml:space="preserve"> the </w:t>
      </w:r>
      <w:r w:rsidR="00685AD8">
        <w:rPr>
          <w:sz w:val="24"/>
          <w:szCs w:val="24"/>
        </w:rPr>
        <w:t xml:space="preserve">total </w:t>
      </w:r>
      <w:r>
        <w:rPr>
          <w:sz w:val="24"/>
          <w:szCs w:val="24"/>
        </w:rPr>
        <w:t xml:space="preserve">air signature in the LLO Y tube is </w:t>
      </w:r>
      <w:r w:rsidR="0069038E">
        <w:rPr>
          <w:sz w:val="24"/>
          <w:szCs w:val="24"/>
        </w:rPr>
        <w:t xml:space="preserve">equivalent to </w:t>
      </w:r>
      <w:r>
        <w:rPr>
          <w:sz w:val="24"/>
          <w:szCs w:val="24"/>
        </w:rPr>
        <w:t xml:space="preserve">about </w:t>
      </w:r>
      <w:r w:rsidR="0069038E">
        <w:rPr>
          <w:sz w:val="24"/>
          <w:szCs w:val="24"/>
        </w:rPr>
        <w:t>5 x 10</w:t>
      </w:r>
      <w:r w:rsidR="0069038E" w:rsidRPr="0069038E">
        <w:rPr>
          <w:sz w:val="24"/>
          <w:szCs w:val="24"/>
          <w:vertAlign w:val="superscript"/>
        </w:rPr>
        <w:t>-5</w:t>
      </w:r>
      <w:r w:rsidR="0069038E">
        <w:rPr>
          <w:sz w:val="24"/>
          <w:szCs w:val="24"/>
        </w:rPr>
        <w:t xml:space="preserve"> </w:t>
      </w:r>
      <w:proofErr w:type="spellStart"/>
      <w:r w:rsidR="0069038E">
        <w:rPr>
          <w:sz w:val="24"/>
          <w:szCs w:val="24"/>
        </w:rPr>
        <w:t>Tl</w:t>
      </w:r>
      <w:proofErr w:type="spellEnd"/>
      <w:r w:rsidR="0069038E">
        <w:rPr>
          <w:sz w:val="24"/>
          <w:szCs w:val="24"/>
        </w:rPr>
        <w:t>/s. While the test configuration</w:t>
      </w:r>
      <w:r w:rsidR="00B9593C">
        <w:rPr>
          <w:sz w:val="24"/>
          <w:szCs w:val="24"/>
        </w:rPr>
        <w:t xml:space="preserve"> </w:t>
      </w:r>
      <w:r w:rsidR="0069038E">
        <w:rPr>
          <w:sz w:val="24"/>
          <w:szCs w:val="24"/>
        </w:rPr>
        <w:t xml:space="preserve">described here could in principle find a single leak of </w:t>
      </w:r>
      <w:r w:rsidR="00B9593C">
        <w:rPr>
          <w:sz w:val="24"/>
          <w:szCs w:val="24"/>
        </w:rPr>
        <w:t>that</w:t>
      </w:r>
      <w:r w:rsidR="0069038E">
        <w:rPr>
          <w:sz w:val="24"/>
          <w:szCs w:val="24"/>
        </w:rPr>
        <w:t xml:space="preserve"> </w:t>
      </w:r>
      <w:r w:rsidR="0058216A">
        <w:rPr>
          <w:sz w:val="24"/>
          <w:szCs w:val="24"/>
        </w:rPr>
        <w:t>size</w:t>
      </w:r>
      <w:r w:rsidR="0069038E">
        <w:rPr>
          <w:sz w:val="24"/>
          <w:szCs w:val="24"/>
        </w:rPr>
        <w:t xml:space="preserve"> at </w:t>
      </w:r>
      <w:r w:rsidR="0069038E" w:rsidRPr="0069038E">
        <w:rPr>
          <w:i/>
          <w:sz w:val="24"/>
          <w:szCs w:val="24"/>
        </w:rPr>
        <w:t>z</w:t>
      </w:r>
      <w:r w:rsidR="0069038E">
        <w:rPr>
          <w:sz w:val="24"/>
          <w:szCs w:val="24"/>
        </w:rPr>
        <w:t xml:space="preserve"> = 1km, SNR would be marginal</w:t>
      </w:r>
      <w:r w:rsidR="00685AD8">
        <w:rPr>
          <w:sz w:val="24"/>
          <w:szCs w:val="24"/>
        </w:rPr>
        <w:t xml:space="preserve"> and </w:t>
      </w:r>
      <w:r w:rsidR="0069038E">
        <w:rPr>
          <w:sz w:val="24"/>
          <w:szCs w:val="24"/>
        </w:rPr>
        <w:t xml:space="preserve">test latency would be very </w:t>
      </w:r>
      <w:r w:rsidR="00AE6A0D">
        <w:rPr>
          <w:sz w:val="24"/>
          <w:szCs w:val="24"/>
        </w:rPr>
        <w:t xml:space="preserve">long due to the diffusion time. This latency also </w:t>
      </w:r>
      <w:r w:rsidR="007F16D2">
        <w:rPr>
          <w:sz w:val="24"/>
          <w:szCs w:val="24"/>
        </w:rPr>
        <w:t xml:space="preserve">may </w:t>
      </w:r>
      <w:r w:rsidR="00AE6A0D">
        <w:rPr>
          <w:sz w:val="24"/>
          <w:szCs w:val="24"/>
        </w:rPr>
        <w:t xml:space="preserve">increase the </w:t>
      </w:r>
      <w:r w:rsidR="007F16D2">
        <w:rPr>
          <w:sz w:val="24"/>
          <w:szCs w:val="24"/>
        </w:rPr>
        <w:t>risk</w:t>
      </w:r>
      <w:r w:rsidR="00AE6A0D">
        <w:rPr>
          <w:sz w:val="24"/>
          <w:szCs w:val="24"/>
        </w:rPr>
        <w:t xml:space="preserve"> of false </w:t>
      </w:r>
      <w:r w:rsidR="007F16D2">
        <w:rPr>
          <w:sz w:val="24"/>
          <w:szCs w:val="24"/>
        </w:rPr>
        <w:t>readings</w:t>
      </w:r>
      <w:r w:rsidR="00AE6A0D">
        <w:rPr>
          <w:sz w:val="24"/>
          <w:szCs w:val="24"/>
        </w:rPr>
        <w:t xml:space="preserve"> due to MSLD drift </w:t>
      </w:r>
      <w:r w:rsidR="007F16D2">
        <w:rPr>
          <w:sz w:val="24"/>
          <w:szCs w:val="24"/>
        </w:rPr>
        <w:t>or</w:t>
      </w:r>
      <w:r w:rsidR="00AE6A0D">
        <w:rPr>
          <w:sz w:val="24"/>
          <w:szCs w:val="24"/>
        </w:rPr>
        <w:t xml:space="preserve"> </w:t>
      </w:r>
      <w:r w:rsidR="0058216A">
        <w:rPr>
          <w:sz w:val="24"/>
          <w:szCs w:val="24"/>
        </w:rPr>
        <w:t xml:space="preserve">ambient </w:t>
      </w:r>
      <w:proofErr w:type="spellStart"/>
      <w:r w:rsidR="00AE6A0D">
        <w:rPr>
          <w:sz w:val="24"/>
          <w:szCs w:val="24"/>
        </w:rPr>
        <w:t>backstreaming</w:t>
      </w:r>
      <w:proofErr w:type="spellEnd"/>
      <w:r w:rsidR="00AE6A0D">
        <w:rPr>
          <w:sz w:val="24"/>
          <w:szCs w:val="24"/>
        </w:rPr>
        <w:t xml:space="preserve">. </w:t>
      </w:r>
    </w:p>
    <w:p w:rsidR="006A447A" w:rsidRDefault="006A447A" w:rsidP="009663A1">
      <w:pPr>
        <w:jc w:val="both"/>
        <w:rPr>
          <w:sz w:val="24"/>
          <w:szCs w:val="24"/>
        </w:rPr>
      </w:pPr>
    </w:p>
    <w:p w:rsidR="00C83DC4" w:rsidRDefault="006A447A" w:rsidP="009663A1">
      <w:p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69038E">
        <w:rPr>
          <w:sz w:val="24"/>
          <w:szCs w:val="24"/>
        </w:rPr>
        <w:t xml:space="preserve">here’s </w:t>
      </w:r>
      <w:r>
        <w:rPr>
          <w:sz w:val="24"/>
          <w:szCs w:val="24"/>
        </w:rPr>
        <w:t xml:space="preserve">also </w:t>
      </w:r>
      <w:r w:rsidR="0069038E">
        <w:rPr>
          <w:sz w:val="24"/>
          <w:szCs w:val="24"/>
        </w:rPr>
        <w:t xml:space="preserve">strong circumstantial evidence that the current problem in fact comprises several smaller distinct leaks. </w:t>
      </w:r>
      <w:r>
        <w:rPr>
          <w:sz w:val="24"/>
          <w:szCs w:val="24"/>
        </w:rPr>
        <w:t xml:space="preserve"> Unfortunately, even the adjacent </w:t>
      </w:r>
      <w:r w:rsidRPr="006A447A">
        <w:rPr>
          <w:i/>
          <w:sz w:val="24"/>
          <w:szCs w:val="24"/>
        </w:rPr>
        <w:t>z</w:t>
      </w:r>
      <w:r>
        <w:rPr>
          <w:sz w:val="24"/>
          <w:szCs w:val="24"/>
        </w:rPr>
        <w:t xml:space="preserve"> = 0 test threshold, in the range of 10</w:t>
      </w:r>
      <w:r w:rsidRPr="006A447A">
        <w:rPr>
          <w:sz w:val="24"/>
          <w:szCs w:val="24"/>
          <w:vertAlign w:val="superscript"/>
        </w:rPr>
        <w:t>-6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Tl</w:t>
      </w:r>
      <w:proofErr w:type="spellEnd"/>
      <w:r>
        <w:rPr>
          <w:sz w:val="24"/>
          <w:szCs w:val="24"/>
        </w:rPr>
        <w:t xml:space="preserve">/s air equivalent, is </w:t>
      </w:r>
      <w:r w:rsidR="00A84281">
        <w:rPr>
          <w:sz w:val="24"/>
          <w:szCs w:val="24"/>
        </w:rPr>
        <w:t xml:space="preserve">a factor of 10-100 higher than we’d consider harmless. </w:t>
      </w:r>
    </w:p>
    <w:p w:rsidR="00B9593C" w:rsidRDefault="00B9593C" w:rsidP="009663A1">
      <w:pPr>
        <w:jc w:val="both"/>
        <w:rPr>
          <w:sz w:val="24"/>
          <w:szCs w:val="24"/>
        </w:rPr>
      </w:pPr>
    </w:p>
    <w:p w:rsidR="00B9593C" w:rsidRDefault="00B9593C" w:rsidP="009663A1">
      <w:pPr>
        <w:jc w:val="both"/>
        <w:rPr>
          <w:sz w:val="24"/>
          <w:szCs w:val="24"/>
        </w:rPr>
      </w:pPr>
      <w:r>
        <w:rPr>
          <w:sz w:val="24"/>
          <w:szCs w:val="24"/>
        </w:rPr>
        <w:t>As a result</w:t>
      </w:r>
      <w:r w:rsidR="00AE6A0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8216A">
        <w:rPr>
          <w:sz w:val="24"/>
          <w:szCs w:val="24"/>
        </w:rPr>
        <w:t>I</w:t>
      </w:r>
      <w:r w:rsidR="00A177A9">
        <w:rPr>
          <w:sz w:val="24"/>
          <w:szCs w:val="24"/>
        </w:rPr>
        <w:t xml:space="preserve"> conclude that we</w:t>
      </w:r>
      <w:r w:rsidR="00685AD8">
        <w:rPr>
          <w:sz w:val="24"/>
          <w:szCs w:val="24"/>
        </w:rPr>
        <w:t>’ll</w:t>
      </w:r>
      <w:r w:rsidR="00A177A9">
        <w:rPr>
          <w:sz w:val="24"/>
          <w:szCs w:val="24"/>
        </w:rPr>
        <w:t xml:space="preserve"> typically </w:t>
      </w:r>
      <w:r w:rsidR="007F16D2">
        <w:rPr>
          <w:sz w:val="24"/>
          <w:szCs w:val="24"/>
        </w:rPr>
        <w:t>want</w:t>
      </w:r>
      <w:r w:rsidR="00A177A9">
        <w:rPr>
          <w:sz w:val="24"/>
          <w:szCs w:val="24"/>
        </w:rPr>
        <w:t xml:space="preserve"> the leak detector </w:t>
      </w:r>
      <w:r w:rsidR="0058216A">
        <w:rPr>
          <w:sz w:val="24"/>
          <w:szCs w:val="24"/>
        </w:rPr>
        <w:t xml:space="preserve">(and associated power, safety and climate control infrastructure) </w:t>
      </w:r>
      <w:r w:rsidR="00A84281">
        <w:rPr>
          <w:sz w:val="24"/>
          <w:szCs w:val="24"/>
        </w:rPr>
        <w:t>on</w:t>
      </w:r>
      <w:r w:rsidR="00A177A9">
        <w:rPr>
          <w:sz w:val="24"/>
          <w:szCs w:val="24"/>
        </w:rPr>
        <w:t xml:space="preserve"> one of the </w:t>
      </w:r>
      <w:r w:rsidR="0058216A">
        <w:rPr>
          <w:sz w:val="24"/>
          <w:szCs w:val="24"/>
        </w:rPr>
        <w:t xml:space="preserve">two </w:t>
      </w:r>
      <w:r w:rsidR="00A177A9">
        <w:rPr>
          <w:sz w:val="24"/>
          <w:szCs w:val="24"/>
        </w:rPr>
        <w:t xml:space="preserve">pump ports nearest each zone under test. </w:t>
      </w:r>
      <w:r w:rsidR="0058216A">
        <w:rPr>
          <w:sz w:val="24"/>
          <w:szCs w:val="24"/>
        </w:rPr>
        <w:t xml:space="preserve">This </w:t>
      </w:r>
      <w:r w:rsidR="00A84281">
        <w:rPr>
          <w:sz w:val="24"/>
          <w:szCs w:val="24"/>
        </w:rPr>
        <w:t>in itself</w:t>
      </w:r>
      <w:r w:rsidR="00A177A9">
        <w:rPr>
          <w:sz w:val="24"/>
          <w:szCs w:val="24"/>
        </w:rPr>
        <w:t xml:space="preserve"> </w:t>
      </w:r>
      <w:r w:rsidR="00A84281">
        <w:rPr>
          <w:sz w:val="24"/>
          <w:szCs w:val="24"/>
        </w:rPr>
        <w:t>raises the</w:t>
      </w:r>
      <w:r w:rsidR="00A177A9">
        <w:rPr>
          <w:sz w:val="24"/>
          <w:szCs w:val="24"/>
        </w:rPr>
        <w:t xml:space="preserve"> </w:t>
      </w:r>
      <w:r w:rsidR="0058216A">
        <w:rPr>
          <w:sz w:val="24"/>
          <w:szCs w:val="24"/>
        </w:rPr>
        <w:t>risk</w:t>
      </w:r>
      <w:r w:rsidR="00A177A9">
        <w:rPr>
          <w:sz w:val="24"/>
          <w:szCs w:val="24"/>
        </w:rPr>
        <w:t xml:space="preserve"> of spurious </w:t>
      </w:r>
      <w:r w:rsidR="0058216A">
        <w:rPr>
          <w:sz w:val="24"/>
          <w:szCs w:val="24"/>
        </w:rPr>
        <w:t xml:space="preserve">He </w:t>
      </w:r>
      <w:proofErr w:type="spellStart"/>
      <w:r w:rsidR="00A177A9">
        <w:rPr>
          <w:sz w:val="24"/>
          <w:szCs w:val="24"/>
        </w:rPr>
        <w:t>backstreaming</w:t>
      </w:r>
      <w:proofErr w:type="spellEnd"/>
      <w:r w:rsidR="007F16D2">
        <w:rPr>
          <w:sz w:val="24"/>
          <w:szCs w:val="24"/>
        </w:rPr>
        <w:t xml:space="preserve"> (false positives)</w:t>
      </w:r>
      <w:r w:rsidR="00A177A9">
        <w:rPr>
          <w:sz w:val="24"/>
          <w:szCs w:val="24"/>
        </w:rPr>
        <w:t xml:space="preserve">, </w:t>
      </w:r>
      <w:r w:rsidR="0058216A">
        <w:rPr>
          <w:sz w:val="24"/>
          <w:szCs w:val="24"/>
        </w:rPr>
        <w:t xml:space="preserve">so </w:t>
      </w:r>
      <w:r w:rsidR="007F16D2">
        <w:rPr>
          <w:sz w:val="24"/>
          <w:szCs w:val="24"/>
        </w:rPr>
        <w:t xml:space="preserve">along </w:t>
      </w:r>
      <w:r w:rsidR="0058216A">
        <w:rPr>
          <w:sz w:val="24"/>
          <w:szCs w:val="24"/>
        </w:rPr>
        <w:t xml:space="preserve">with this </w:t>
      </w:r>
      <w:r w:rsidR="00342194">
        <w:rPr>
          <w:sz w:val="24"/>
          <w:szCs w:val="24"/>
        </w:rPr>
        <w:t>practice</w:t>
      </w:r>
      <w:r w:rsidR="00A84281">
        <w:rPr>
          <w:sz w:val="24"/>
          <w:szCs w:val="24"/>
        </w:rPr>
        <w:t>,</w:t>
      </w:r>
      <w:r w:rsidR="00342194">
        <w:rPr>
          <w:sz w:val="24"/>
          <w:szCs w:val="24"/>
        </w:rPr>
        <w:t xml:space="preserve"> </w:t>
      </w:r>
      <w:r w:rsidR="0058216A">
        <w:rPr>
          <w:sz w:val="24"/>
          <w:szCs w:val="24"/>
        </w:rPr>
        <w:t>we’ll</w:t>
      </w:r>
      <w:r w:rsidR="00A177A9">
        <w:rPr>
          <w:sz w:val="24"/>
          <w:szCs w:val="24"/>
        </w:rPr>
        <w:t xml:space="preserve"> also need to</w:t>
      </w:r>
      <w:r w:rsidR="0058216A">
        <w:rPr>
          <w:sz w:val="24"/>
          <w:szCs w:val="24"/>
        </w:rPr>
        <w:t xml:space="preserve"> </w:t>
      </w:r>
      <w:r w:rsidR="00342194">
        <w:rPr>
          <w:sz w:val="24"/>
          <w:szCs w:val="24"/>
        </w:rPr>
        <w:t xml:space="preserve">direct and </w:t>
      </w:r>
      <w:r w:rsidR="0058216A">
        <w:rPr>
          <w:sz w:val="24"/>
          <w:szCs w:val="24"/>
        </w:rPr>
        <w:t>maintain</w:t>
      </w:r>
      <w:r w:rsidR="00A177A9">
        <w:rPr>
          <w:sz w:val="24"/>
          <w:szCs w:val="24"/>
        </w:rPr>
        <w:t xml:space="preserve"> strong </w:t>
      </w:r>
      <w:r w:rsidR="00AE6A0D">
        <w:rPr>
          <w:sz w:val="24"/>
          <w:szCs w:val="24"/>
        </w:rPr>
        <w:t xml:space="preserve">fresh </w:t>
      </w:r>
      <w:r w:rsidR="00A177A9">
        <w:rPr>
          <w:sz w:val="24"/>
          <w:szCs w:val="24"/>
        </w:rPr>
        <w:t xml:space="preserve">air </w:t>
      </w:r>
      <w:r w:rsidR="00342194">
        <w:rPr>
          <w:sz w:val="24"/>
          <w:szCs w:val="24"/>
        </w:rPr>
        <w:t>flow</w:t>
      </w:r>
      <w:r w:rsidR="00A177A9">
        <w:rPr>
          <w:sz w:val="24"/>
          <w:szCs w:val="24"/>
        </w:rPr>
        <w:t xml:space="preserve"> </w:t>
      </w:r>
      <w:r w:rsidR="0058216A">
        <w:rPr>
          <w:sz w:val="24"/>
          <w:szCs w:val="24"/>
        </w:rPr>
        <w:t xml:space="preserve">away </w:t>
      </w:r>
      <w:r w:rsidR="00A177A9">
        <w:rPr>
          <w:sz w:val="24"/>
          <w:szCs w:val="24"/>
        </w:rPr>
        <w:t xml:space="preserve">from the </w:t>
      </w:r>
      <w:r w:rsidR="0058216A">
        <w:rPr>
          <w:sz w:val="24"/>
          <w:szCs w:val="24"/>
        </w:rPr>
        <w:t>MSLD location</w:t>
      </w:r>
      <w:r w:rsidR="007F16D2">
        <w:rPr>
          <w:sz w:val="24"/>
          <w:szCs w:val="24"/>
        </w:rPr>
        <w:t xml:space="preserve"> at all times</w:t>
      </w:r>
      <w:r w:rsidR="00A177A9">
        <w:rPr>
          <w:sz w:val="24"/>
          <w:szCs w:val="24"/>
        </w:rPr>
        <w:t xml:space="preserve">. </w:t>
      </w:r>
      <w:r w:rsidR="007F16D2">
        <w:rPr>
          <w:sz w:val="24"/>
          <w:szCs w:val="24"/>
        </w:rPr>
        <w:t>Ambient thermal stabilization of the MSLD, necessary to control drift, may also be more challenging at remote BTE locations.</w:t>
      </w:r>
      <w:r w:rsidR="00A84281">
        <w:rPr>
          <w:sz w:val="24"/>
          <w:szCs w:val="24"/>
        </w:rPr>
        <w:t xml:space="preserve"> </w:t>
      </w:r>
    </w:p>
    <w:p w:rsidR="00A33494" w:rsidRDefault="00A33494" w:rsidP="00A33494">
      <w:bookmarkStart w:id="0" w:name="_GoBack"/>
      <w:bookmarkEnd w:id="0"/>
    </w:p>
    <w:sectPr w:rsidR="00A33494" w:rsidSect="000F618D">
      <w:footerReference w:type="default" r:id="rId12"/>
      <w:pgSz w:w="12240" w:h="15840" w:code="1"/>
      <w:pgMar w:top="1267" w:right="1800" w:bottom="1440" w:left="1800" w:footer="432" w:gutter="0"/>
      <w:printerSettings r:id="rId13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47A" w:rsidRDefault="006A447A">
      <w:r>
        <w:separator/>
      </w:r>
    </w:p>
  </w:endnote>
  <w:endnote w:type="continuationSeparator" w:id="0">
    <w:p w:rsidR="006A447A" w:rsidRDefault="006A44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47A" w:rsidRDefault="006A447A">
    <w:pPr>
      <w:pStyle w:val="Footer"/>
      <w:tabs>
        <w:tab w:val="clear" w:pos="4320"/>
        <w:tab w:val="clear" w:pos="8640"/>
        <w:tab w:val="left" w:pos="3060"/>
        <w:tab w:val="left" w:pos="7830"/>
      </w:tabs>
    </w:pPr>
    <w:r>
      <w:rPr>
        <w:rFonts w:ascii="Arial" w:hAnsi="Arial"/>
        <w:i/>
        <w:sz w:val="14"/>
      </w:rPr>
      <w:tab/>
      <w:t>CALIFORNIA INSTITUTE OF TECHNOLOGY</w:t>
    </w:r>
    <w:r>
      <w:rPr>
        <w:rFonts w:ascii="Arial" w:hAnsi="Arial"/>
        <w:i/>
        <w:sz w:val="14"/>
      </w:rPr>
      <w:tab/>
    </w:r>
    <w:r>
      <w:rPr>
        <w:rFonts w:ascii="Arial" w:hAnsi="Arial"/>
        <w:snapToGrid w:val="0"/>
        <w:sz w:val="14"/>
      </w:rPr>
      <w:t xml:space="preserve">Page </w:t>
    </w:r>
    <w:r w:rsidR="00947801">
      <w:rPr>
        <w:rFonts w:ascii="Arial" w:hAnsi="Arial"/>
        <w:snapToGrid w:val="0"/>
        <w:sz w:val="14"/>
      </w:rPr>
      <w:fldChar w:fldCharType="begin"/>
    </w:r>
    <w:r>
      <w:rPr>
        <w:rFonts w:ascii="Arial" w:hAnsi="Arial"/>
        <w:snapToGrid w:val="0"/>
        <w:sz w:val="14"/>
      </w:rPr>
      <w:instrText xml:space="preserve"> PAGE </w:instrText>
    </w:r>
    <w:r w:rsidR="00947801">
      <w:rPr>
        <w:rFonts w:ascii="Arial" w:hAnsi="Arial"/>
        <w:snapToGrid w:val="0"/>
        <w:sz w:val="14"/>
      </w:rPr>
      <w:fldChar w:fldCharType="separate"/>
    </w:r>
    <w:r w:rsidR="00955856">
      <w:rPr>
        <w:rFonts w:ascii="Arial" w:hAnsi="Arial"/>
        <w:noProof/>
        <w:snapToGrid w:val="0"/>
        <w:sz w:val="14"/>
      </w:rPr>
      <w:t>5</w:t>
    </w:r>
    <w:r w:rsidR="00947801">
      <w:rPr>
        <w:rFonts w:ascii="Arial" w:hAnsi="Arial"/>
        <w:snapToGrid w:val="0"/>
        <w:sz w:val="14"/>
      </w:rPr>
      <w:fldChar w:fldCharType="end"/>
    </w:r>
    <w:r>
      <w:rPr>
        <w:rFonts w:ascii="Arial" w:hAnsi="Arial"/>
        <w:snapToGrid w:val="0"/>
        <w:sz w:val="14"/>
      </w:rPr>
      <w:t xml:space="preserve"> of </w:t>
    </w:r>
    <w:r w:rsidR="00947801">
      <w:rPr>
        <w:rFonts w:ascii="Arial" w:hAnsi="Arial"/>
        <w:snapToGrid w:val="0"/>
        <w:sz w:val="14"/>
      </w:rPr>
      <w:fldChar w:fldCharType="begin"/>
    </w:r>
    <w:r>
      <w:rPr>
        <w:rFonts w:ascii="Arial" w:hAnsi="Arial"/>
        <w:snapToGrid w:val="0"/>
        <w:sz w:val="14"/>
      </w:rPr>
      <w:instrText xml:space="preserve"> NUMPAGES </w:instrText>
    </w:r>
    <w:r w:rsidR="00947801">
      <w:rPr>
        <w:rFonts w:ascii="Arial" w:hAnsi="Arial"/>
        <w:snapToGrid w:val="0"/>
        <w:sz w:val="14"/>
      </w:rPr>
      <w:fldChar w:fldCharType="separate"/>
    </w:r>
    <w:r w:rsidR="00955856">
      <w:rPr>
        <w:rFonts w:ascii="Arial" w:hAnsi="Arial"/>
        <w:noProof/>
        <w:snapToGrid w:val="0"/>
        <w:sz w:val="14"/>
      </w:rPr>
      <w:t>5</w:t>
    </w:r>
    <w:r w:rsidR="00947801">
      <w:rPr>
        <w:rFonts w:ascii="Arial" w:hAnsi="Arial"/>
        <w:snapToGrid w:val="0"/>
        <w:sz w:val="14"/>
      </w:rPr>
      <w:fldChar w:fldCharType="end"/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47A" w:rsidRDefault="006A447A">
      <w:r>
        <w:separator/>
      </w:r>
    </w:p>
  </w:footnote>
  <w:footnote w:type="continuationSeparator" w:id="0">
    <w:p w:rsidR="006A447A" w:rsidRDefault="006A447A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933BA"/>
    <w:multiLevelType w:val="hybridMultilevel"/>
    <w:tmpl w:val="5D9A55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023137"/>
    <w:multiLevelType w:val="hybridMultilevel"/>
    <w:tmpl w:val="8F7E7C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0E2CEF"/>
    <w:multiLevelType w:val="hybridMultilevel"/>
    <w:tmpl w:val="20E8E8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2002E1"/>
    <w:multiLevelType w:val="hybridMultilevel"/>
    <w:tmpl w:val="4412E9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665915"/>
    <w:multiLevelType w:val="hybridMultilevel"/>
    <w:tmpl w:val="827AF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0249B3"/>
    <w:multiLevelType w:val="hybridMultilevel"/>
    <w:tmpl w:val="4678D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E338EE"/>
    <w:multiLevelType w:val="hybridMultilevel"/>
    <w:tmpl w:val="7E3A10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564E03"/>
    <w:multiLevelType w:val="hybridMultilevel"/>
    <w:tmpl w:val="2200C4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A42A36"/>
    <w:multiLevelType w:val="hybridMultilevel"/>
    <w:tmpl w:val="203855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2F2902"/>
    <w:multiLevelType w:val="hybridMultilevel"/>
    <w:tmpl w:val="EAD80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1075FC"/>
    <w:multiLevelType w:val="hybridMultilevel"/>
    <w:tmpl w:val="51429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90F0E51"/>
    <w:multiLevelType w:val="hybridMultilevel"/>
    <w:tmpl w:val="E918BB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B2D2FE1"/>
    <w:multiLevelType w:val="hybridMultilevel"/>
    <w:tmpl w:val="05C24C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5"/>
  </w:num>
  <w:num w:numId="5">
    <w:abstractNumId w:val="11"/>
  </w:num>
  <w:num w:numId="6">
    <w:abstractNumId w:val="9"/>
  </w:num>
  <w:num w:numId="7">
    <w:abstractNumId w:val="8"/>
  </w:num>
  <w:num w:numId="8">
    <w:abstractNumId w:val="2"/>
  </w:num>
  <w:num w:numId="9">
    <w:abstractNumId w:val="6"/>
  </w:num>
  <w:num w:numId="10">
    <w:abstractNumId w:val="12"/>
  </w:num>
  <w:num w:numId="11">
    <w:abstractNumId w:val="4"/>
  </w:num>
  <w:num w:numId="12">
    <w:abstractNumId w:val="3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E4A76"/>
    <w:rsid w:val="0000080A"/>
    <w:rsid w:val="000068A8"/>
    <w:rsid w:val="00010DB5"/>
    <w:rsid w:val="00016077"/>
    <w:rsid w:val="00085959"/>
    <w:rsid w:val="00097657"/>
    <w:rsid w:val="000A1F85"/>
    <w:rsid w:val="000B6C4B"/>
    <w:rsid w:val="000F45A3"/>
    <w:rsid w:val="000F618D"/>
    <w:rsid w:val="00124D94"/>
    <w:rsid w:val="00137F7C"/>
    <w:rsid w:val="0015263D"/>
    <w:rsid w:val="001704F6"/>
    <w:rsid w:val="00182071"/>
    <w:rsid w:val="00185BCB"/>
    <w:rsid w:val="0019244B"/>
    <w:rsid w:val="001C3A06"/>
    <w:rsid w:val="001E35A8"/>
    <w:rsid w:val="001F2185"/>
    <w:rsid w:val="001F4822"/>
    <w:rsid w:val="0020292A"/>
    <w:rsid w:val="00212A33"/>
    <w:rsid w:val="00227481"/>
    <w:rsid w:val="00236C79"/>
    <w:rsid w:val="00257B14"/>
    <w:rsid w:val="0028269C"/>
    <w:rsid w:val="002C1668"/>
    <w:rsid w:val="002F1368"/>
    <w:rsid w:val="002F6423"/>
    <w:rsid w:val="003234A5"/>
    <w:rsid w:val="00323D25"/>
    <w:rsid w:val="00342194"/>
    <w:rsid w:val="00342BD4"/>
    <w:rsid w:val="003478D0"/>
    <w:rsid w:val="003606CE"/>
    <w:rsid w:val="003613A8"/>
    <w:rsid w:val="00366A5D"/>
    <w:rsid w:val="00366DB6"/>
    <w:rsid w:val="00376C04"/>
    <w:rsid w:val="003A770C"/>
    <w:rsid w:val="003C6EE5"/>
    <w:rsid w:val="003D2CAE"/>
    <w:rsid w:val="004320B8"/>
    <w:rsid w:val="004B0263"/>
    <w:rsid w:val="004E3F02"/>
    <w:rsid w:val="00516164"/>
    <w:rsid w:val="00544D8D"/>
    <w:rsid w:val="0055110B"/>
    <w:rsid w:val="0058216A"/>
    <w:rsid w:val="005859C8"/>
    <w:rsid w:val="00587AFA"/>
    <w:rsid w:val="00594D29"/>
    <w:rsid w:val="005A668D"/>
    <w:rsid w:val="005A7AD7"/>
    <w:rsid w:val="005B29AB"/>
    <w:rsid w:val="005B2EC0"/>
    <w:rsid w:val="006069D2"/>
    <w:rsid w:val="006144E0"/>
    <w:rsid w:val="00631F58"/>
    <w:rsid w:val="0064424C"/>
    <w:rsid w:val="00645089"/>
    <w:rsid w:val="00647F1E"/>
    <w:rsid w:val="00662DDD"/>
    <w:rsid w:val="0067658E"/>
    <w:rsid w:val="00685AD8"/>
    <w:rsid w:val="0069038E"/>
    <w:rsid w:val="00691EB6"/>
    <w:rsid w:val="0069323F"/>
    <w:rsid w:val="00697CF4"/>
    <w:rsid w:val="006A447A"/>
    <w:rsid w:val="006B029A"/>
    <w:rsid w:val="006B7E69"/>
    <w:rsid w:val="006C06D7"/>
    <w:rsid w:val="006C48D3"/>
    <w:rsid w:val="006D4C7C"/>
    <w:rsid w:val="00753F77"/>
    <w:rsid w:val="00754EE5"/>
    <w:rsid w:val="007B36AA"/>
    <w:rsid w:val="007F16D2"/>
    <w:rsid w:val="00865CDC"/>
    <w:rsid w:val="00874633"/>
    <w:rsid w:val="0087695C"/>
    <w:rsid w:val="00880F08"/>
    <w:rsid w:val="008B679C"/>
    <w:rsid w:val="00906695"/>
    <w:rsid w:val="00907BE3"/>
    <w:rsid w:val="00914FC6"/>
    <w:rsid w:val="009153FC"/>
    <w:rsid w:val="00917F3B"/>
    <w:rsid w:val="009316DB"/>
    <w:rsid w:val="00932B57"/>
    <w:rsid w:val="00944C50"/>
    <w:rsid w:val="00947801"/>
    <w:rsid w:val="009500F5"/>
    <w:rsid w:val="00955856"/>
    <w:rsid w:val="009663A1"/>
    <w:rsid w:val="00970FFC"/>
    <w:rsid w:val="009D5E4E"/>
    <w:rsid w:val="009E5BDC"/>
    <w:rsid w:val="009F07A0"/>
    <w:rsid w:val="009F6583"/>
    <w:rsid w:val="00A0235C"/>
    <w:rsid w:val="00A177A9"/>
    <w:rsid w:val="00A33494"/>
    <w:rsid w:val="00A368D0"/>
    <w:rsid w:val="00A403D2"/>
    <w:rsid w:val="00A51CCF"/>
    <w:rsid w:val="00A84281"/>
    <w:rsid w:val="00A95492"/>
    <w:rsid w:val="00AE46D8"/>
    <w:rsid w:val="00AE5A3E"/>
    <w:rsid w:val="00AE6A0D"/>
    <w:rsid w:val="00B1671B"/>
    <w:rsid w:val="00B20566"/>
    <w:rsid w:val="00B76377"/>
    <w:rsid w:val="00B875BD"/>
    <w:rsid w:val="00B9593C"/>
    <w:rsid w:val="00BD346B"/>
    <w:rsid w:val="00BE4A76"/>
    <w:rsid w:val="00C217FC"/>
    <w:rsid w:val="00C37901"/>
    <w:rsid w:val="00C820C1"/>
    <w:rsid w:val="00C83DC4"/>
    <w:rsid w:val="00C936B5"/>
    <w:rsid w:val="00CA646E"/>
    <w:rsid w:val="00CD4EFC"/>
    <w:rsid w:val="00CD62C4"/>
    <w:rsid w:val="00CE522F"/>
    <w:rsid w:val="00CE714B"/>
    <w:rsid w:val="00D20438"/>
    <w:rsid w:val="00D572F4"/>
    <w:rsid w:val="00D65FFA"/>
    <w:rsid w:val="00D85580"/>
    <w:rsid w:val="00DA2F6C"/>
    <w:rsid w:val="00DC0489"/>
    <w:rsid w:val="00E022BA"/>
    <w:rsid w:val="00E13A60"/>
    <w:rsid w:val="00E537B7"/>
    <w:rsid w:val="00E777BB"/>
    <w:rsid w:val="00EA3C5B"/>
    <w:rsid w:val="00EB409F"/>
    <w:rsid w:val="00F0237C"/>
    <w:rsid w:val="00F247EC"/>
    <w:rsid w:val="00F71C1A"/>
    <w:rsid w:val="00F94C6C"/>
    <w:rsid w:val="00FA2841"/>
    <w:rsid w:val="00FD4752"/>
    <w:rsid w:val="00FD6D66"/>
    <w:rsid w:val="00FF37F0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801"/>
  </w:style>
  <w:style w:type="paragraph" w:styleId="Heading2">
    <w:name w:val="heading 2"/>
    <w:basedOn w:val="Normal"/>
    <w:next w:val="Normal"/>
    <w:qFormat/>
    <w:rsid w:val="00947801"/>
    <w:pPr>
      <w:keepNext/>
      <w:spacing w:before="240" w:after="60"/>
      <w:outlineLvl w:val="1"/>
    </w:pPr>
    <w:rPr>
      <w:rFonts w:ascii="Helvetica" w:hAnsi="Helvetica"/>
      <w:b/>
      <w:i/>
      <w:sz w:val="28"/>
    </w:rPr>
  </w:style>
  <w:style w:type="paragraph" w:styleId="Heading3">
    <w:name w:val="heading 3"/>
    <w:basedOn w:val="Normal"/>
    <w:next w:val="Normal"/>
    <w:qFormat/>
    <w:rsid w:val="00947801"/>
    <w:pPr>
      <w:keepNext/>
      <w:spacing w:before="240" w:after="60"/>
      <w:outlineLvl w:val="2"/>
    </w:pPr>
    <w:rPr>
      <w:rFonts w:ascii="Helvetica" w:hAnsi="Helvetica"/>
      <w:b/>
      <w:sz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Style1">
    <w:name w:val="Style1"/>
    <w:basedOn w:val="Normal"/>
    <w:rsid w:val="00947801"/>
    <w:rPr>
      <w:rFonts w:ascii="Arial" w:hAnsi="Arial"/>
      <w:sz w:val="24"/>
    </w:rPr>
  </w:style>
  <w:style w:type="paragraph" w:styleId="Header">
    <w:name w:val="header"/>
    <w:basedOn w:val="Normal"/>
    <w:rsid w:val="009478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7801"/>
    <w:pPr>
      <w:tabs>
        <w:tab w:val="center" w:pos="4320"/>
        <w:tab w:val="right" w:pos="8640"/>
      </w:tabs>
    </w:pPr>
  </w:style>
  <w:style w:type="paragraph" w:customStyle="1" w:styleId="RegPara">
    <w:name w:val="Reg Para"/>
    <w:basedOn w:val="Normal"/>
    <w:rsid w:val="00947801"/>
    <w:pPr>
      <w:tabs>
        <w:tab w:val="left" w:pos="1080"/>
      </w:tabs>
    </w:pPr>
    <w:rPr>
      <w:sz w:val="24"/>
    </w:rPr>
  </w:style>
  <w:style w:type="paragraph" w:styleId="BodyText">
    <w:name w:val="Body Text"/>
    <w:basedOn w:val="Normal"/>
    <w:rsid w:val="00947801"/>
    <w:rPr>
      <w:rFonts w:ascii="Arial" w:hAnsi="Arial"/>
      <w:b/>
      <w:sz w:val="12"/>
    </w:rPr>
  </w:style>
  <w:style w:type="paragraph" w:styleId="FootnoteText">
    <w:name w:val="footnote text"/>
    <w:basedOn w:val="Normal"/>
    <w:semiHidden/>
    <w:rsid w:val="00BE4A76"/>
    <w:rPr>
      <w:sz w:val="24"/>
      <w:szCs w:val="24"/>
    </w:rPr>
  </w:style>
  <w:style w:type="character" w:styleId="FootnoteReference">
    <w:name w:val="footnote reference"/>
    <w:basedOn w:val="DefaultParagraphFont"/>
    <w:semiHidden/>
    <w:rsid w:val="00BE4A76"/>
    <w:rPr>
      <w:vertAlign w:val="superscript"/>
    </w:rPr>
  </w:style>
  <w:style w:type="character" w:styleId="Hyperlink">
    <w:name w:val="Hyperlink"/>
    <w:basedOn w:val="DefaultParagraphFont"/>
    <w:rsid w:val="00BE4A76"/>
    <w:rPr>
      <w:color w:val="0000FF"/>
      <w:u w:val="single"/>
    </w:rPr>
  </w:style>
  <w:style w:type="character" w:styleId="FollowedHyperlink">
    <w:name w:val="FollowedHyperlink"/>
    <w:basedOn w:val="DefaultParagraphFont"/>
    <w:rsid w:val="00BE4A76"/>
    <w:rPr>
      <w:color w:val="800080"/>
      <w:u w:val="single"/>
    </w:rPr>
  </w:style>
  <w:style w:type="table" w:styleId="TableGrid">
    <w:name w:val="Table Grid"/>
    <w:basedOn w:val="TableNormal"/>
    <w:rsid w:val="005176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517658"/>
    <w:pPr>
      <w:spacing w:before="120" w:after="12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EB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EB6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53F77"/>
    <w:rPr>
      <w:color w:val="808080"/>
    </w:rPr>
  </w:style>
  <w:style w:type="table" w:styleId="LightShading">
    <w:name w:val="Light Shading"/>
    <w:basedOn w:val="TableNormal"/>
    <w:uiPriority w:val="60"/>
    <w:rsid w:val="0090669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Helvetica" w:hAnsi="Helvetica"/>
      <w:b/>
      <w:sz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Pr>
      <w:rFonts w:ascii="Arial" w:hAnsi="Arial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RegPara">
    <w:name w:val="Reg Para"/>
    <w:basedOn w:val="Normal"/>
    <w:pPr>
      <w:tabs>
        <w:tab w:val="left" w:pos="1080"/>
      </w:tabs>
    </w:pPr>
    <w:rPr>
      <w:sz w:val="24"/>
    </w:rPr>
  </w:style>
  <w:style w:type="paragraph" w:styleId="BodyText">
    <w:name w:val="Body Text"/>
    <w:basedOn w:val="Normal"/>
    <w:rPr>
      <w:rFonts w:ascii="Arial" w:hAnsi="Arial"/>
      <w:b/>
      <w:sz w:val="12"/>
    </w:rPr>
  </w:style>
  <w:style w:type="paragraph" w:styleId="FootnoteText">
    <w:name w:val="footnote text"/>
    <w:basedOn w:val="Normal"/>
    <w:semiHidden/>
    <w:rsid w:val="00BE4A76"/>
    <w:rPr>
      <w:sz w:val="24"/>
      <w:szCs w:val="24"/>
    </w:rPr>
  </w:style>
  <w:style w:type="character" w:styleId="FootnoteReference">
    <w:name w:val="footnote reference"/>
    <w:basedOn w:val="DefaultParagraphFont"/>
    <w:semiHidden/>
    <w:rsid w:val="00BE4A76"/>
    <w:rPr>
      <w:vertAlign w:val="superscript"/>
    </w:rPr>
  </w:style>
  <w:style w:type="character" w:styleId="Hyperlink">
    <w:name w:val="Hyperlink"/>
    <w:basedOn w:val="DefaultParagraphFont"/>
    <w:rsid w:val="00BE4A76"/>
    <w:rPr>
      <w:color w:val="0000FF"/>
      <w:u w:val="single"/>
    </w:rPr>
  </w:style>
  <w:style w:type="character" w:styleId="FollowedHyperlink">
    <w:name w:val="FollowedHyperlink"/>
    <w:basedOn w:val="DefaultParagraphFont"/>
    <w:rsid w:val="00BE4A76"/>
    <w:rPr>
      <w:color w:val="800080"/>
      <w:u w:val="single"/>
    </w:rPr>
  </w:style>
  <w:style w:type="table" w:styleId="TableGrid">
    <w:name w:val="Table Grid"/>
    <w:basedOn w:val="TableNormal"/>
    <w:rsid w:val="005176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517658"/>
    <w:pPr>
      <w:spacing w:before="120" w:after="12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EB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EB6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53F77"/>
    <w:rPr>
      <w:color w:val="808080"/>
    </w:rPr>
  </w:style>
  <w:style w:type="table" w:styleId="LightShading">
    <w:name w:val="Light Shading"/>
    <w:basedOn w:val="TableNormal"/>
    <w:uiPriority w:val="60"/>
    <w:rsid w:val="0090669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emf"/><Relationship Id="rId12" Type="http://schemas.openxmlformats.org/officeDocument/2006/relationships/footer" Target="footer1.xml"/><Relationship Id="rId13" Type="http://schemas.openxmlformats.org/officeDocument/2006/relationships/printerSettings" Target="printerSettings/printerSettings1.bin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emf"/><Relationship Id="rId10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148F7F-0E57-1B4C-BA55-C7690295A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1097</Words>
  <Characters>6254</Characters>
  <Application>Microsoft Macintosh Word</Application>
  <DocSecurity>0</DocSecurity>
  <Lines>52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Appendix: Radiometric and photometric quantities</vt:lpstr>
    </vt:vector>
  </TitlesOfParts>
  <Company>CALTECH</Company>
  <LinksUpToDate>false</LinksUpToDate>
  <CharactersWithSpaces>7680</CharactersWithSpaces>
  <SharedDoc>false</SharedDoc>
  <HLinks>
    <vt:vector size="72" baseType="variant">
      <vt:variant>
        <vt:i4>721014</vt:i4>
      </vt:variant>
      <vt:variant>
        <vt:i4>36</vt:i4>
      </vt:variant>
      <vt:variant>
        <vt:i4>0</vt:i4>
      </vt:variant>
      <vt:variant>
        <vt:i4>5</vt:i4>
      </vt:variant>
      <vt:variant>
        <vt:lpwstr>http://en.wikipedia.org/wiki/Photometry_(optics)</vt:lpwstr>
      </vt:variant>
      <vt:variant>
        <vt:lpwstr/>
      </vt:variant>
      <vt:variant>
        <vt:i4>5177410</vt:i4>
      </vt:variant>
      <vt:variant>
        <vt:i4>30</vt:i4>
      </vt:variant>
      <vt:variant>
        <vt:i4>0</vt:i4>
      </vt:variant>
      <vt:variant>
        <vt:i4>5</vt:i4>
      </vt:variant>
      <vt:variant>
        <vt:lpwstr>http://en.wikipedia.org/wiki/Lumen_(unit)</vt:lpwstr>
      </vt:variant>
      <vt:variant>
        <vt:lpwstr/>
      </vt:variant>
      <vt:variant>
        <vt:i4>3997699</vt:i4>
      </vt:variant>
      <vt:variant>
        <vt:i4>12</vt:i4>
      </vt:variant>
      <vt:variant>
        <vt:i4>0</vt:i4>
      </vt:variant>
      <vt:variant>
        <vt:i4>5</vt:i4>
      </vt:variant>
      <vt:variant>
        <vt:lpwstr>https://dcc.ligo.org/cgi-bin/private/DocDB/ShowDocument?docid=735</vt:lpwstr>
      </vt:variant>
      <vt:variant>
        <vt:lpwstr/>
      </vt:variant>
      <vt:variant>
        <vt:i4>3276858</vt:i4>
      </vt:variant>
      <vt:variant>
        <vt:i4>6</vt:i4>
      </vt:variant>
      <vt:variant>
        <vt:i4>0</vt:i4>
      </vt:variant>
      <vt:variant>
        <vt:i4>5</vt:i4>
      </vt:variant>
      <vt:variant>
        <vt:lpwstr>https://dcc.ligo.org/cgi-bin/private/DocDB/ShowDocument?docid=5882</vt:lpwstr>
      </vt:variant>
      <vt:variant>
        <vt:lpwstr/>
      </vt:variant>
      <vt:variant>
        <vt:i4>7667759</vt:i4>
      </vt:variant>
      <vt:variant>
        <vt:i4>18</vt:i4>
      </vt:variant>
      <vt:variant>
        <vt:i4>0</vt:i4>
      </vt:variant>
      <vt:variant>
        <vt:i4>5</vt:i4>
      </vt:variant>
      <vt:variant>
        <vt:lpwstr>http://www.cie.co.at/index.php/index.php?i_ca_id=298</vt:lpwstr>
      </vt:variant>
      <vt:variant>
        <vt:lpwstr/>
      </vt:variant>
      <vt:variant>
        <vt:i4>4325418</vt:i4>
      </vt:variant>
      <vt:variant>
        <vt:i4>15</vt:i4>
      </vt:variant>
      <vt:variant>
        <vt:i4>0</vt:i4>
      </vt:variant>
      <vt:variant>
        <vt:i4>5</vt:i4>
      </vt:variant>
      <vt:variant>
        <vt:lpwstr>http://www.arri.de/fileadmin/media/arri.com/downloads/Lighting/Tungsten_Lampheads/ARRI_Fresnel/ARRI_Junior_650/ARRI_Junior_BRO_E.pdf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http://doug.kerr.home.att.net/pumpkin/SOS_REI.pdf</vt:lpwstr>
      </vt:variant>
      <vt:variant>
        <vt:lpwstr/>
      </vt:variant>
      <vt:variant>
        <vt:i4>4915276</vt:i4>
      </vt:variant>
      <vt:variant>
        <vt:i4>9</vt:i4>
      </vt:variant>
      <vt:variant>
        <vt:i4>0</vt:i4>
      </vt:variant>
      <vt:variant>
        <vt:i4>5</vt:i4>
      </vt:variant>
      <vt:variant>
        <vt:lpwstr>http://www.largeformatphotography.info/articles/conrad-meter-cal.pdf</vt:lpwstr>
      </vt:variant>
      <vt:variant>
        <vt:lpwstr/>
      </vt:variant>
      <vt:variant>
        <vt:i4>7209067</vt:i4>
      </vt:variant>
      <vt:variant>
        <vt:i4>6</vt:i4>
      </vt:variant>
      <vt:variant>
        <vt:i4>0</vt:i4>
      </vt:variant>
      <vt:variant>
        <vt:i4>5</vt:i4>
      </vt:variant>
      <vt:variant>
        <vt:lpwstr>http://www.uni-muenster.de/imperia/md/content/ziv/multimedia/downloads/kodak___noise_sources.pdf</vt:lpwstr>
      </vt:variant>
      <vt:variant>
        <vt:lpwstr/>
      </vt:variant>
      <vt:variant>
        <vt:i4>1179765</vt:i4>
      </vt:variant>
      <vt:variant>
        <vt:i4>3</vt:i4>
      </vt:variant>
      <vt:variant>
        <vt:i4>0</vt:i4>
      </vt:variant>
      <vt:variant>
        <vt:i4>5</vt:i4>
      </vt:variant>
      <vt:variant>
        <vt:lpwstr>http://www.kodak.com/global/plugins/acrobat/en/business/ISS/supportdocs/ISOMeasurements.pdf</vt:lpwstr>
      </vt:variant>
      <vt:variant>
        <vt:lpwstr/>
      </vt:variant>
      <vt:variant>
        <vt:i4>3801140</vt:i4>
      </vt:variant>
      <vt:variant>
        <vt:i4>0</vt:i4>
      </vt:variant>
      <vt:variant>
        <vt:i4>0</vt:i4>
      </vt:variant>
      <vt:variant>
        <vt:i4>5</vt:i4>
      </vt:variant>
      <vt:variant>
        <vt:lpwstr>https://dcc.ligo.org/cgi-bin/private/DocDB/ShowDocument?docid=7226</vt:lpwstr>
      </vt:variant>
      <vt:variant>
        <vt:lpwstr/>
      </vt:variant>
      <vt:variant>
        <vt:i4>5505037</vt:i4>
      </vt:variant>
      <vt:variant>
        <vt:i4>13470</vt:i4>
      </vt:variant>
      <vt:variant>
        <vt:i4>1026</vt:i4>
      </vt:variant>
      <vt:variant>
        <vt:i4>1</vt:i4>
      </vt:variant>
      <vt:variant>
        <vt:lpwstr>Ligo_Logo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TORRES, LIGO PROJECT</dc:creator>
  <cp:keywords/>
  <cp:lastModifiedBy>Michael Zucker</cp:lastModifiedBy>
  <cp:revision>3</cp:revision>
  <cp:lastPrinted>2013-06-17T16:44:00Z</cp:lastPrinted>
  <dcterms:created xsi:type="dcterms:W3CDTF">2013-06-17T16:44:00Z</dcterms:created>
  <dcterms:modified xsi:type="dcterms:W3CDTF">2013-06-17T16:47:00Z</dcterms:modified>
</cp:coreProperties>
</file>