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20" w:val="left"/>
          <w:tab w:leader="none" w:pos="6105" w:val="left"/>
        </w:tabs>
      </w:pPr>
      <w:r>
        <w:rPr/>
        <w:pict>
          <v:rect id="shape_0" style="position:absolute;margin-left:0pt;margin-top:0pt;width:479.6pt;height:1pt">
            <v:wrap v:type="none"/>
            <v:fill color="gray" color2="#7f7f7f" detectmouseclick="t" type="solid"/>
            <v:stroke color="gray" joinstyle="round"/>
          </v:rect>
        </w:pict>
        <w:pict>
          <v:rect id="shape_0" style="position:absolute;margin-left:0pt;margin-top:0pt;width:479.6pt;height:1pt">
            <v:wrap v:type="none"/>
            <v:fill color="gray" color2="#7f7f7f" detectmouseclick="t" type="solid"/>
            <v:stroke color="gray" joinstyle="round"/>
          </v:rect>
        </w:pic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i/>
          <w:sz w:val="36"/>
          <w:szCs w:val="36"/>
        </w:rPr>
        <w:t>LIGO Laboratory / LIGO Scientific Collaboration</w:t>
      </w:r>
    </w:p>
    <w:p>
      <w:pPr>
        <w:pStyle w:val="style195"/>
      </w:pPr>
      <w:r>
        <w:rPr/>
      </w:r>
    </w:p>
    <w:p>
      <w:pPr>
        <w:pStyle w:val="style195"/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tabs>
          <w:tab w:leader="none" w:pos="720" w:val="left"/>
          <w:tab w:leader="none" w:pos="5040" w:val="center"/>
          <w:tab w:leader="none" w:pos="9360" w:val="right"/>
        </w:tabs>
        <w:jc w:val="center"/>
      </w:pPr>
      <w:r>
        <w:rPr/>
        <w:t>LIGO- E1300831-v1</w:t>
        <w:tab/>
        <w:t xml:space="preserve">                 </w:t>
      </w:r>
      <w:r>
        <w:rPr>
          <w:i/>
          <w:iCs/>
          <w:color w:val="0000FF"/>
          <w:sz w:val="40"/>
        </w:rPr>
        <w:t>LIGO</w:t>
      </w:r>
      <w:r>
        <w:rPr/>
        <w:t xml:space="preserve">                   </w:t>
      </w:r>
      <w:r>
        <w:rPr/>
        <w:t>Date (fixed)</w:t>
      </w:r>
      <w:r>
        <w:rPr/>
        <w:b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 xml:space="preserve">aLIGO HEPI H1 HAM5 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>Assembly Validation Report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>E1300831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lang w:val="fr-FR"/>
        </w:rPr>
        <w:t>Hugh Radkins, Hugo Paris, Fabrice Matichard for the SEI Team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195"/>
        <w:jc w:val="center"/>
      </w:pPr>
      <w:r>
        <w:rPr/>
      </w:r>
    </w:p>
    <w:p>
      <w:pPr>
        <w:pStyle w:val="style0"/>
        <w:jc w:val="center"/>
      </w:pPr>
      <w:r>
        <w:rPr/>
        <w:t>Distribution of this document:</w:t>
      </w:r>
    </w:p>
    <w:p>
      <w:pPr>
        <w:pStyle w:val="style0"/>
        <w:jc w:val="center"/>
      </w:pPr>
      <w:r>
        <w:rPr/>
        <w:t>Advanced LIGO Project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This is an internal working note</w:t>
      </w:r>
    </w:p>
    <w:p>
      <w:pPr>
        <w:pStyle w:val="style0"/>
        <w:jc w:val="center"/>
      </w:pPr>
      <w:r>
        <w:rPr/>
        <w:t>of the LIGO Laboratory</w:t>
      </w:r>
    </w:p>
    <w:p>
      <w:pPr>
        <w:pStyle w:val="style0"/>
        <w:jc w:val="center"/>
      </w:pPr>
      <w:r>
        <w:rPr/>
      </w:r>
    </w:p>
    <w:p>
      <w:pPr>
        <w:pStyle w:val="style195"/>
      </w:pPr>
      <w:r>
        <w:rPr/>
      </w:r>
    </w:p>
    <w:tbl>
      <w:tblPr>
        <w:jc w:val="left"/>
        <w:tblInd w:type="dxa" w:w="-1080"/>
        <w:tblBorders/>
      </w:tblPr>
      <w:tblGrid>
        <w:gridCol w:w="4904"/>
        <w:gridCol w:w="4904"/>
      </w:tblGrid>
      <w:tr>
        <w:trPr>
          <w:cantSplit w:val="false"/>
        </w:trPr>
        <w:tc>
          <w:tcPr>
            <w:tcW w:type="dxa" w:w="49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California Institute of Technology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Project – MS 18-34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1200 E. California Blvd.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Pasadena, CA 91125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Phone (626) 395-2129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Fax (626) 304-9834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E-mail: info@ligo.caltech.edu</w:t>
            </w:r>
          </w:p>
        </w:tc>
        <w:tc>
          <w:tcPr>
            <w:tcW w:type="dxa" w:w="49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Massachusetts Institute of Technology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Project – NW22-295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185 Albany St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Cambridge, MA 02139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(617) 253-4824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Fax (617) 253-7014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E-mail: info@ligo.mit.edu</w:t>
            </w:r>
          </w:p>
        </w:tc>
      </w:tr>
      <w:tr>
        <w:trPr>
          <w:cantSplit w:val="false"/>
        </w:trPr>
        <w:tc>
          <w:tcPr>
            <w:tcW w:type="dxa" w:w="49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5"/>
              <w:jc w:val="center"/>
            </w:pPr>
            <w:r>
              <w:rPr/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Hanford Observatory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P.O. Box 1970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Mail Stop S9-02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Richland WA 99352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509-372-8106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Fax 509-372-8137</w:t>
            </w:r>
          </w:p>
        </w:tc>
        <w:tc>
          <w:tcPr>
            <w:tcW w:type="dxa" w:w="49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5"/>
              <w:jc w:val="center"/>
            </w:pPr>
            <w:r>
              <w:rPr/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Livingston Observatory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P.O. Box 940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Livingston, LA  70754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225-686-3100</w:t>
            </w:r>
          </w:p>
          <w:p>
            <w:pPr>
              <w:pStyle w:val="style195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Fax 225-686-7189</w:t>
            </w:r>
          </w:p>
        </w:tc>
      </w:tr>
    </w:tbl>
    <w:p>
      <w:pPr>
        <w:sectPr>
          <w:headerReference r:id="rId2" w:type="default"/>
          <w:type w:val="nextPage"/>
          <w:pgSz w:h="15840" w:w="12240"/>
          <w:pgMar w:bottom="1200" w:footer="0" w:gutter="0" w:header="720" w:left="1200" w:right="1200" w:top="1200"/>
          <w:pgNumType w:fmt="decimal"/>
          <w:formProt w:val="false"/>
          <w:textDirection w:val="lrTb"/>
          <w:docGrid w:charSpace="0" w:linePitch="360" w:type="default"/>
        </w:sectPr>
        <w:pStyle w:val="style193"/>
        <w:tabs>
          <w:tab w:leader="none" w:pos="4986" w:val="center"/>
          <w:tab w:leader="none" w:pos="9840" w:val="right"/>
          <w:tab w:leader="none" w:pos="9972" w:val="right"/>
        </w:tabs>
      </w:pPr>
      <w:r>
        <w:rPr/>
      </w:r>
    </w:p>
    <w:p>
      <w:pPr>
        <w:pStyle w:val="style0"/>
      </w:pPr>
      <w:r>
        <w:rPr/>
      </w:r>
    </w:p>
    <w:p>
      <w:pPr>
        <w:pStyle w:val="style192"/>
      </w:pPr>
      <w:bookmarkStart w:id="1" w:name="__RefHeading__16982_1262773321"/>
      <w:bookmarkEnd w:id="1"/>
      <w:r>
        <w:rPr/>
        <w:t>Contents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headerReference r:id="rId3" w:type="even"/>
          <w:headerReference r:id="rId4" w:type="default"/>
          <w:footerReference r:id="rId5" w:type="even"/>
          <w:footerReference r:id="rId6" w:type="default"/>
          <w:type w:val="nextPage"/>
          <w:pgSz w:h="15840" w:w="12240"/>
          <w:pgMar w:bottom="1200" w:footer="720" w:gutter="0" w:header="720" w:left="1200" w:right="1200" w:top="1200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197"/>
        <w:tabs>
          <w:tab w:leader="dot" w:pos="9840" w:val="right"/>
        </w:tabs>
      </w:pPr>
      <w:r>
        <w:fldChar w:fldCharType="begin"/>
      </w:r>
      <w:r>
        <w:instrText> TOC </w:instrText>
      </w:r>
      <w:r>
        <w:fldChar w:fldCharType="separate"/>
      </w:r>
      <w:hyperlink w:anchor="__RefHeading__2636_85073724">
        <w:r>
          <w:rPr>
            <w:rStyle w:val="style186"/>
          </w:rPr>
          <w:t>1.Introduction</w:t>
          <w:tab/>
          <w:t>5</w:t>
        </w:r>
      </w:hyperlink>
    </w:p>
    <w:p>
      <w:pPr>
        <w:pStyle w:val="style197"/>
        <w:tabs>
          <w:tab w:leader="dot" w:pos="9840" w:val="right"/>
        </w:tabs>
      </w:pPr>
      <w:hyperlink w:anchor="__RefHeading__2638_85073724">
        <w:r>
          <w:rPr>
            <w:rStyle w:val="style186"/>
          </w:rPr>
          <w:t>2.Sub-Components Testing</w:t>
          <w:tab/>
          <w:t>5</w:t>
        </w:r>
      </w:hyperlink>
    </w:p>
    <w:p>
      <w:pPr>
        <w:pStyle w:val="style197"/>
        <w:tabs>
          <w:tab w:leader="dot" w:pos="9840" w:val="right"/>
        </w:tabs>
      </w:pPr>
      <w:hyperlink w:anchor="__RefHeading__16986_1262773321">
        <w:r>
          <w:rPr>
            <w:rStyle w:val="style186"/>
          </w:rPr>
          <w:t>3.Load Cells assembly--HAM4</w:t>
          <w:tab/>
          <w:t>5</w:t>
        </w:r>
      </w:hyperlink>
    </w:p>
    <w:p>
      <w:pPr>
        <w:pStyle w:val="style197"/>
        <w:tabs>
          <w:tab w:leader="dot" w:pos="9840" w:val="right"/>
        </w:tabs>
      </w:pPr>
      <w:hyperlink w:anchor="__RefHeading__143_78310084">
        <w:r>
          <w:rPr>
            <w:rStyle w:val="style186"/>
          </w:rPr>
          <w:t>4.Boot Location—Test Not Performed, HR</w:t>
          <w:tab/>
          <w:t>7</w:t>
        </w:r>
      </w:hyperlink>
    </w:p>
    <w:p>
      <w:pPr>
        <w:pStyle w:val="style197"/>
        <w:tabs>
          <w:tab w:leader="dot" w:pos="9840" w:val="right"/>
        </w:tabs>
      </w:pPr>
      <w:hyperlink w:anchor="__RefHeading__836_1185372569">
        <w:r>
          <w:rPr>
            <w:rStyle w:val="style186"/>
          </w:rPr>
          <w:t>5.Check Stops Gaps—Test Not Performed, HR</w:t>
          <w:tab/>
          <w:t>8</w:t>
        </w:r>
      </w:hyperlink>
    </w:p>
    <w:p>
      <w:pPr>
        <w:pStyle w:val="style197"/>
        <w:tabs>
          <w:tab w:leader="dot" w:pos="9840" w:val="right"/>
        </w:tabs>
      </w:pPr>
      <w:hyperlink w:anchor="__RefHeading__432_1185372569">
        <w:r>
          <w:rPr>
            <w:rStyle w:val="style186"/>
          </w:rPr>
          <w:t>6.Gaps check—Test Not Performed, HR</w:t>
          <w:tab/>
          <w:t>8</w:t>
        </w:r>
      </w:hyperlink>
    </w:p>
    <w:p>
      <w:pPr>
        <w:pStyle w:val="style197"/>
        <w:tabs>
          <w:tab w:leader="dot" w:pos="9840" w:val="right"/>
        </w:tabs>
      </w:pPr>
      <w:hyperlink w:anchor="__RefHeading__23658_1262773321">
        <w:r>
          <w:rPr>
            <w:rStyle w:val="style186"/>
          </w:rPr>
          <w:t>7.IPS Centering</w:t>
          <w:tab/>
          <w:t>9</w:t>
        </w:r>
      </w:hyperlink>
    </w:p>
    <w:p>
      <w:pPr>
        <w:pStyle w:val="style197"/>
        <w:tabs>
          <w:tab w:leader="dot" w:pos="9840" w:val="right"/>
        </w:tabs>
      </w:pPr>
      <w:hyperlink w:anchor="__RefHeading__842_1185372569">
        <w:r>
          <w:rPr>
            <w:rStyle w:val="style186"/>
          </w:rPr>
          <w:t>8.Sensor ASD</w:t>
          <w:tab/>
          <w:t>10</w:t>
        </w:r>
      </w:hyperlink>
    </w:p>
    <w:p>
      <w:pPr>
        <w:pStyle w:val="style197"/>
        <w:tabs>
          <w:tab w:leader="dot" w:pos="9840" w:val="right"/>
        </w:tabs>
      </w:pPr>
      <w:hyperlink w:anchor="__RefHeading__552_1262773321">
        <w:r>
          <w:rPr>
            <w:rStyle w:val="style186"/>
          </w:rPr>
          <w:t>9.SUS-watchdogs interaction test</w:t>
          <w:tab/>
          <w:t>11</w:t>
        </w:r>
      </w:hyperlink>
    </w:p>
    <w:p>
      <w:pPr>
        <w:pStyle w:val="style197"/>
        <w:tabs>
          <w:tab w:leader="dot" w:pos="9840" w:val="right"/>
        </w:tabs>
      </w:pPr>
      <w:hyperlink w:anchor="__RefHeading__139_968872343">
        <w:r>
          <w:rPr>
            <w:rStyle w:val="style186"/>
          </w:rPr>
          <w:t xml:space="preserve">10.Static Test local drive </w:t>
          <w:tab/>
          <w:t>11</w:t>
        </w:r>
      </w:hyperlink>
    </w:p>
    <w:p>
      <w:pPr>
        <w:pStyle w:val="style197"/>
        <w:tabs>
          <w:tab w:leader="dot" w:pos="9840" w:val="right"/>
        </w:tabs>
      </w:pPr>
      <w:hyperlink w:anchor="__RefHeading__23760_1262773321">
        <w:r>
          <w:rPr>
            <w:rStyle w:val="style186"/>
          </w:rPr>
          <w:t>11.Linearity Test/Range of motion in the local basis</w:t>
          <w:tab/>
          <w:t>12</w:t>
        </w:r>
      </w:hyperlink>
    </w:p>
    <w:p>
      <w:pPr>
        <w:pStyle w:val="style197"/>
        <w:tabs>
          <w:tab w:leader="dot" w:pos="9840" w:val="right"/>
        </w:tabs>
      </w:pPr>
      <w:hyperlink w:anchor="__RefHeading__448_1185372569">
        <w:r>
          <w:rPr>
            <w:rStyle w:val="style186"/>
          </w:rPr>
          <w:t>12.Actuator Plate to Shields gap—Test Not Performed, HR</w:t>
          <w:tab/>
          <w:t>13</w:t>
        </w:r>
      </w:hyperlink>
    </w:p>
    <w:p>
      <w:pPr>
        <w:pStyle w:val="style197"/>
        <w:tabs>
          <w:tab w:leader="dot" w:pos="9840" w:val="right"/>
        </w:tabs>
      </w:pPr>
      <w:hyperlink w:anchor="__RefHeading__23670_1262773321">
        <w:r>
          <w:rPr>
            <w:rStyle w:val="style186"/>
          </w:rPr>
          <w:t>13.Valve Check—Test Not performed yet.</w:t>
          <w:tab/>
          <w:t>14</w:t>
        </w:r>
      </w:hyperlink>
    </w:p>
    <w:p>
      <w:pPr>
        <w:pStyle w:val="style197"/>
        <w:tabs>
          <w:tab w:leader="dot" w:pos="9840" w:val="right"/>
        </w:tabs>
      </w:pPr>
      <w:hyperlink w:anchor="__RefHeading__190_870708744">
        <w:r>
          <w:rPr>
            <w:rStyle w:val="style186"/>
          </w:rPr>
          <w:t>14.Local-to-local measurements</w:t>
          <w:tab/>
          <w:t>15</w:t>
        </w:r>
      </w:hyperlink>
    </w:p>
    <w:p>
      <w:pPr>
        <w:pStyle w:val="style197"/>
        <w:tabs>
          <w:tab w:leader="dot" w:pos="9840" w:val="right"/>
        </w:tabs>
      </w:pPr>
      <w:hyperlink w:anchor="__RefHeading__2640_85073724">
        <w:r>
          <w:rPr>
            <w:rStyle w:val="style186"/>
          </w:rPr>
          <w:t>15. Alignment offsets:</w:t>
          <w:tab/>
          <w:t>17</w:t>
        </w:r>
        <w:r>
          <w:fldChar w:fldCharType="end"/>
        </w:r>
      </w:hyperlink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/>
          <w:textDirection w:val="lrTb"/>
          <w:docGrid w:charSpace="0" w:linePitch="360" w:type="default"/>
        </w:sectPr>
      </w:pPr>
    </w:p>
    <w:p>
      <w:pPr>
        <w:pStyle w:val="style197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97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97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97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97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"/>
        <w:numPr>
          <w:ilvl w:val="0"/>
          <w:numId w:val="3"/>
        </w:numPr>
      </w:pPr>
      <w:bookmarkStart w:id="2" w:name="__RefHeading__2636_85073724"/>
      <w:bookmarkStart w:id="3" w:name="_Toc244858915"/>
      <w:bookmarkEnd w:id="2"/>
      <w:bookmarkEnd w:id="3"/>
      <w:r>
        <w:rPr/>
        <w:t>Introduction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This document summarizes the steps to be done to validate HEPI assemblies.  Corresponding reports must be posted in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LIGO-E1300454: aLIGO HEPI Testing Reports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3"/>
        </w:numPr>
      </w:pPr>
      <w:bookmarkStart w:id="4" w:name="__RefHeading__2638_85073724"/>
      <w:bookmarkStart w:id="5" w:name="_Toc244858916"/>
      <w:bookmarkEnd w:id="4"/>
      <w:bookmarkEnd w:id="5"/>
      <w:r>
        <w:rPr/>
        <w:t>Sub-Components Testing</w:t>
      </w:r>
    </w:p>
    <w:p>
      <w:pPr>
        <w:pStyle w:val="style0"/>
      </w:pPr>
      <w:r>
        <w:rPr/>
      </w:r>
    </w:p>
    <w:p>
      <w:pPr>
        <w:pStyle w:val="style203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Kaman Inductive Position Sensors: calibration, linearity, factory data, noise measurements (E0900426 – HEPI Kaman Sensor Receiving Analysis - Results posted in the SVN )</w:t>
      </w:r>
    </w:p>
    <w:p>
      <w:pPr>
        <w:pStyle w:val="style203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HEPI actuator linearity test (E1100338 – aLIGO HEPI Actuators Test Results)</w:t>
      </w:r>
    </w:p>
    <w:p>
      <w:pPr>
        <w:pStyle w:val="style203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L4C test (Q0900007)</w:t>
      </w:r>
    </w:p>
    <w:p>
      <w:pPr>
        <w:pStyle w:val="style203"/>
        <w:suppressAutoHyphens w:val="false"/>
        <w:spacing w:after="200" w:before="0" w:line="276" w:lineRule="auto"/>
        <w:ind w:hanging="0" w:left="0" w:right="0"/>
      </w:pPr>
      <w:r>
        <w:rPr/>
      </w:r>
    </w:p>
    <w:p>
      <w:pPr>
        <w:pStyle w:val="style1"/>
        <w:numPr>
          <w:ilvl w:val="0"/>
          <w:numId w:val="3"/>
        </w:numPr>
      </w:pPr>
      <w:bookmarkStart w:id="6" w:name="__RefHeading__16986_1262773321"/>
      <w:bookmarkStart w:id="7" w:name="__RefHeading__420_1185372569"/>
      <w:bookmarkStart w:id="8" w:name="__RefHeading__826_1185372569"/>
      <w:bookmarkStart w:id="9" w:name="__RefHeading__23652_1262773321"/>
      <w:bookmarkStart w:id="10" w:name="__RefHeading__23847_1262773321"/>
      <w:bookmarkStart w:id="11" w:name="__RefHeading__106_1080062798"/>
      <w:bookmarkStart w:id="12" w:name="__RefHeading__158_870708744"/>
      <w:bookmarkStart w:id="13" w:name="__RefHeading__23055_1262773321"/>
      <w:bookmarkStart w:id="14" w:name="__RefHeading__23744_1262773321"/>
      <w:bookmarkStart w:id="15" w:name="__RefHeading__90_503471281"/>
      <w:bookmarkStart w:id="16" w:name="__RefHeading__123_968872343"/>
      <w:bookmarkStart w:id="17" w:name="__RefHeading__141_78310084"/>
      <w:bookmarkStart w:id="18" w:name="__RefHeading__178_1185372569"/>
      <w:bookmarkStart w:id="19" w:name="_Toc24485891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/>
        <w:t>Load Cells assembly--HAM4</w:t>
      </w:r>
    </w:p>
    <w:p>
      <w:pPr>
        <w:pStyle w:val="style0"/>
      </w:pPr>
      <w:r>
        <w:rPr/>
      </w:r>
    </w:p>
    <w:p>
      <w:pPr>
        <w:pStyle w:val="style0"/>
      </w:pPr>
      <w:r>
        <w:rPr/>
        <w:t>BSC HEPI load cell capacity → 3000 lbs</w:t>
      </w:r>
    </w:p>
    <w:p>
      <w:pPr>
        <w:pStyle w:val="style0"/>
      </w:pPr>
      <w:r>
        <w:rPr/>
        <w:t>HAM HEPI load cell capacity → 2000 lbs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995"/>
        <w:gridCol w:w="2418"/>
        <w:gridCol w:w="2261"/>
      </w:tblGrid>
      <w:tr>
        <w:trPr>
          <w:cantSplit w:val="false"/>
        </w:trPr>
        <w:tc>
          <w:tcPr>
            <w:tcW w:type="dxa" w:w="99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24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</w:rPr>
              <w:t>Left Spring (lbs)</w:t>
            </w:r>
          </w:p>
        </w:tc>
        <w:tc>
          <w:tcPr>
            <w:tcW w:type="dxa" w:w="22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</w:rPr>
              <w:t>Right Spring (lbs)</w:t>
            </w:r>
          </w:p>
        </w:tc>
      </w:tr>
      <w:tr>
        <w:trPr>
          <w:cantSplit w:val="false"/>
        </w:trPr>
        <w:tc>
          <w:tcPr>
            <w:tcW w:type="dxa" w:w="9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</w:rPr>
              <w:t>Pier 1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1290</w:t>
            </w:r>
          </w:p>
        </w:tc>
        <w:tc>
          <w:tcPr>
            <w:tcW w:type="dxa" w:w="22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1400</w:t>
            </w:r>
          </w:p>
        </w:tc>
      </w:tr>
      <w:tr>
        <w:trPr>
          <w:cantSplit w:val="false"/>
        </w:trPr>
        <w:tc>
          <w:tcPr>
            <w:tcW w:type="dxa" w:w="9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</w:rPr>
              <w:t>Pier 2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1430</w:t>
            </w:r>
          </w:p>
        </w:tc>
        <w:tc>
          <w:tcPr>
            <w:tcW w:type="dxa" w:w="22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1460</w:t>
            </w:r>
          </w:p>
        </w:tc>
      </w:tr>
      <w:tr>
        <w:trPr>
          <w:cantSplit w:val="false"/>
        </w:trPr>
        <w:tc>
          <w:tcPr>
            <w:tcW w:type="dxa" w:w="9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</w:rPr>
              <w:t>Pier 3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1325</w:t>
            </w:r>
          </w:p>
        </w:tc>
        <w:tc>
          <w:tcPr>
            <w:tcW w:type="dxa" w:w="22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1320</w:t>
            </w:r>
          </w:p>
        </w:tc>
      </w:tr>
      <w:tr>
        <w:trPr>
          <w:cantSplit w:val="false"/>
        </w:trPr>
        <w:tc>
          <w:tcPr>
            <w:tcW w:type="dxa" w:w="9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</w:rPr>
              <w:t>Pier 4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1245</w:t>
            </w:r>
          </w:p>
        </w:tc>
        <w:tc>
          <w:tcPr>
            <w:tcW w:type="dxa" w:w="22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  <w:t>1265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20" w:name="__DdeLink__7826_126277332111"/>
      <w:bookmarkEnd w:id="20"/>
      <w:r>
        <w:rPr/>
        <w:t>The values must not exceed 80% of the load cell capacity (2400lbs for BSC and 1600lbs for HAM).</w:t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21" w:name="__DdeLink__7795_1262773321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>X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21"/>
      <w:r>
        <w:rPr>
          <w:b/>
          <w:color w:val="FFFFFF"/>
        </w:rPr>
        <w:t>.</w:t>
      </w:r>
    </w:p>
    <w:p>
      <w:pPr>
        <w:pStyle w:val="style0"/>
        <w:widowControl/>
        <w:suppressAutoHyphens w:val="false"/>
      </w:pPr>
      <w:r>
        <w:rPr/>
      </w:r>
    </w:p>
    <w:p>
      <w:pPr>
        <w:pStyle w:val="style1"/>
        <w:pageBreakBefore/>
        <w:numPr>
          <w:ilvl w:val="0"/>
          <w:numId w:val="3"/>
        </w:numPr>
      </w:pPr>
      <w:bookmarkStart w:id="22" w:name="__RefHeading__143_78310084"/>
      <w:bookmarkStart w:id="23" w:name="__RefHeading__125_968872343"/>
      <w:bookmarkStart w:id="24" w:name="__RefHeading__23746_1262773321"/>
      <w:bookmarkStart w:id="25" w:name="__RefHeading__92_503471281"/>
      <w:bookmarkStart w:id="26" w:name="__RefHeading__108_1080062798"/>
      <w:bookmarkStart w:id="27" w:name="__RefHeading__828_1185372569"/>
      <w:bookmarkStart w:id="28" w:name="__RefHeading__180_1185372569"/>
      <w:bookmarkStart w:id="29" w:name="__RefHeading__422_1185372569"/>
      <w:bookmarkStart w:id="30" w:name="__RefHeading__160_870708744"/>
      <w:bookmarkStart w:id="31" w:name="__RefHeading__23849_1262773321"/>
      <w:bookmarkStart w:id="32" w:name="__RefHeading__23654_1262773321"/>
      <w:bookmarkStart w:id="33" w:name="__RefHeading__182_1185372569"/>
      <w:bookmarkStart w:id="34" w:name="__RefHeading__424_1185372569"/>
      <w:bookmarkStart w:id="35" w:name="__RefHeading__830_1185372569"/>
      <w:bookmarkStart w:id="36" w:name="__RefHeading__162_870708744"/>
      <w:bookmarkStart w:id="37" w:name="_Toc24485891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/>
        <w:t>Boot Location—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tbl>
      <w:tblPr>
        <w:jc w:val="left"/>
        <w:tblBorders/>
      </w:tblPr>
      <w:tblGrid>
        <w:gridCol w:w="2897"/>
        <w:gridCol w:w="1134"/>
        <w:gridCol w:w="1377"/>
        <w:gridCol w:w="1351"/>
        <w:gridCol w:w="1190"/>
      </w:tblGrid>
      <w:tr>
        <w:trPr>
          <w:trHeight w:hRule="atLeast" w:val="300"/>
          <w:cantSplit w:val="false"/>
        </w:trPr>
        <w:tc>
          <w:tcPr>
            <w:tcW w:type="dxa" w:w="28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1</w:t>
            </w:r>
          </w:p>
        </w:tc>
        <w:tc>
          <w:tcPr>
            <w:tcW w:type="dxa" w:w="137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2</w:t>
            </w:r>
          </w:p>
        </w:tc>
        <w:tc>
          <w:tcPr>
            <w:tcW w:type="dxa" w:w="135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3</w:t>
            </w:r>
          </w:p>
        </w:tc>
        <w:tc>
          <w:tcPr>
            <w:tcW w:type="dxa" w:w="11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1a (Tangential)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1b (Tangential)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2a (Tangential)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2b (Tangential)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3 (Radial Back)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4 (Radial Front)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5 (Vertical)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Borders/>
      </w:tblPr>
      <w:tblGrid>
        <w:gridCol w:w="2899"/>
        <w:gridCol w:w="1132"/>
        <w:gridCol w:w="1365"/>
        <w:gridCol w:w="1378"/>
        <w:gridCol w:w="1189"/>
      </w:tblGrid>
      <w:tr>
        <w:trPr>
          <w:trHeight w:hRule="atLeast" w:val="300"/>
          <w:cantSplit w:val="false"/>
        </w:trPr>
        <w:tc>
          <w:tcPr>
            <w:tcW w:type="dxa" w:w="28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1</w:t>
            </w:r>
          </w:p>
        </w:tc>
        <w:tc>
          <w:tcPr>
            <w:tcW w:type="dxa" w:w="136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2</w:t>
            </w:r>
          </w:p>
        </w:tc>
        <w:tc>
          <w:tcPr>
            <w:tcW w:type="dxa" w:w="137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3</w:t>
            </w:r>
          </w:p>
        </w:tc>
        <w:tc>
          <w:tcPr>
            <w:tcW w:type="dxa" w:w="118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1a (Tangential)</w:t>
            </w:r>
          </w:p>
        </w:tc>
        <w:tc>
          <w:tcPr>
            <w:tcW w:type="dxa" w:w="113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1b (Tangential)</w:t>
            </w:r>
          </w:p>
        </w:tc>
        <w:tc>
          <w:tcPr>
            <w:tcW w:type="dxa" w:w="113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2a (Tangential)</w:t>
            </w:r>
          </w:p>
        </w:tc>
        <w:tc>
          <w:tcPr>
            <w:tcW w:type="dxa" w:w="113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2b (Tangential)</w:t>
            </w:r>
          </w:p>
        </w:tc>
        <w:tc>
          <w:tcPr>
            <w:tcW w:type="dxa" w:w="113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3 (Radial Back)</w:t>
            </w:r>
          </w:p>
        </w:tc>
        <w:tc>
          <w:tcPr>
            <w:tcW w:type="dxa" w:w="113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4 (Radial Front)</w:t>
            </w:r>
          </w:p>
        </w:tc>
        <w:tc>
          <w:tcPr>
            <w:tcW w:type="dxa" w:w="113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5 (Vertical)</w:t>
            </w:r>
          </w:p>
        </w:tc>
        <w:tc>
          <w:tcPr>
            <w:tcW w:type="dxa" w:w="113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38" w:name="__DdeLink__7826_126277332112"/>
      <w:bookmarkStart w:id="39" w:name="__DdeLink__7826_126277332112"/>
      <w:bookmarkEnd w:id="39"/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40" w:name="__DdeLink__7795_12627733212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40"/>
      <w:r>
        <w:rPr>
          <w:b/>
          <w:color w:val="FFFFFF"/>
        </w:rPr>
        <w:t>.</w:t>
      </w:r>
    </w:p>
    <w:p>
      <w:pPr>
        <w:pStyle w:val="style0"/>
        <w:suppressAutoHyphens w:val="false"/>
        <w:spacing w:after="200" w:before="0"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41" w:name="__RefHeading__836_1185372569"/>
      <w:bookmarkStart w:id="42" w:name="_Toc244858919"/>
      <w:bookmarkEnd w:id="41"/>
      <w:bookmarkEnd w:id="42"/>
      <w:r>
        <w:rPr/>
        <w:t>Check Stops Gaps—</w:t>
      </w:r>
      <w:r>
        <w:rPr>
          <w:color w:val="FF0000"/>
        </w:rPr>
        <w:t>Test Not Performed, HR</w:t>
      </w:r>
    </w:p>
    <w:p>
      <w:pPr>
        <w:pStyle w:val="style0"/>
        <w:suppressAutoHyphens w:val="false"/>
        <w:spacing w:after="200" w:before="0" w:line="276" w:lineRule="auto"/>
      </w:pPr>
      <w:r>
        <w:rPr/>
        <w:t>The stops must not touch the boot. There is 15 stops per boot, 5 per F bracket.</w:t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516"/>
        <w:gridCol w:w="516"/>
        <w:gridCol w:w="518"/>
        <w:gridCol w:w="8269"/>
      </w:tblGrid>
      <w:tr>
        <w:trPr>
          <w:trHeight w:hRule="atLeast" w:val="211"/>
          <w:cantSplit w:val="false"/>
        </w:trPr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Bracket 1</w:t>
            </w:r>
          </w:p>
        </w:tc>
        <w:tc>
          <w:tcPr>
            <w:tcW w:type="dxa" w:w="5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Bracket 2</w:t>
            </w:r>
          </w:p>
        </w:tc>
        <w:tc>
          <w:tcPr>
            <w:tcW w:type="dxa" w:w="8269"/>
            <w:gridSpan w:val="1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Bracket 3</w:t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5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5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5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5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Pier 1</w:t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Pier 2</w:t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Pier 3</w:t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16"/>
                <w:szCs w:val="16"/>
              </w:rPr>
              <w:t>Pier 4</w:t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43" w:name="__RefHeading__432_1185372569"/>
      <w:bookmarkStart w:id="44" w:name="__RefHeading__190_1185372569"/>
      <w:bookmarkStart w:id="45" w:name="__RefHeading__838_1185372569"/>
      <w:bookmarkStart w:id="46" w:name="__RefHeading__170_870708744"/>
      <w:bookmarkStart w:id="47" w:name="_Toc244858920"/>
      <w:bookmarkEnd w:id="43"/>
      <w:bookmarkEnd w:id="44"/>
      <w:bookmarkEnd w:id="45"/>
      <w:bookmarkEnd w:id="46"/>
      <w:bookmarkEnd w:id="47"/>
      <w:r>
        <w:rPr/>
        <w:t>Gaps check—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p>
      <w:pPr>
        <w:pStyle w:val="style0"/>
      </w:pPr>
      <w:r>
        <w:rPr/>
        <w:t>Four  particular gaps need to be check.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0.08” shim must fit in these two gaps</w:t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  <w:jc w:val="both"/>
      </w:pPr>
      <w:r>
        <w:rPr>
          <w:u w:val="single"/>
        </w:rPr>
        <w:t>Issues/difficulties/comments regarding this test</w:t>
      </w:r>
      <w:r>
        <w:rPr/>
        <w:t xml:space="preserve">: Gap#1 is tricky to reach. At LASTI, the solution found was to tape the shim to an extension (rod, rigid ruler, etc.). </w:t>
      </w:r>
    </w:p>
    <w:p>
      <w:pPr>
        <w:pStyle w:val="style0"/>
        <w:tabs>
          <w:tab w:leader="none" w:pos="720" w:val="left"/>
        </w:tabs>
        <w:jc w:val="both"/>
      </w:pPr>
      <w:r>
        <w:rPr/>
        <w:t>Gap#2 should be reachable by hand.</w:t>
      </w:r>
    </w:p>
    <w:p>
      <w:pPr>
        <w:pStyle w:val="style0"/>
        <w:tabs>
          <w:tab w:leader="none" w:pos="720" w:val="left"/>
        </w:tabs>
        <w:jc w:val="both"/>
      </w:pPr>
      <w:r>
        <w:rPr/>
        <w:t>Gap#3 and 4 are tricky, but should also be doable (no picture)</w:t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tbl>
      <w:tblPr>
        <w:jc w:val="left"/>
        <w:tblInd w:type="dxa" w:w="1812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816"/>
        <w:gridCol w:w="925"/>
        <w:gridCol w:w="955"/>
        <w:gridCol w:w="955"/>
        <w:gridCol w:w="972"/>
      </w:tblGrid>
      <w:tr>
        <w:trPr>
          <w:cantSplit w:val="false"/>
        </w:trPr>
        <w:tc>
          <w:tcPr>
            <w:tcW w:type="dxa" w:w="8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2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Gap#1</w:t>
            </w:r>
          </w:p>
        </w:tc>
        <w:tc>
          <w:tcPr>
            <w:tcW w:type="dxa" w:w="9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Gap#2</w:t>
            </w:r>
          </w:p>
        </w:tc>
        <w:tc>
          <w:tcPr>
            <w:tcW w:type="dxa" w:w="9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Gap#3</w:t>
            </w:r>
          </w:p>
        </w:tc>
        <w:tc>
          <w:tcPr>
            <w:tcW w:type="dxa" w:w="9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Gap#4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Pier 1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Pier 2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>Pier 3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Pier 4 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9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48" w:name="__DdeLink__270_877636783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48"/>
      <w:r>
        <w:rPr>
          <w:b/>
          <w:color w:val="FFFFFF"/>
        </w:rPr>
        <w:t>.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49" w:name="__RefHeading__23658_1262773321"/>
      <w:bookmarkStart w:id="50" w:name="__RefHeading__23853_1262773321"/>
      <w:bookmarkStart w:id="51" w:name="__RefHeading__112_1080062798"/>
      <w:bookmarkStart w:id="52" w:name="__RefHeading__434_1185372569"/>
      <w:bookmarkStart w:id="53" w:name="__RefHeading__23750_1262773321"/>
      <w:bookmarkStart w:id="54" w:name="__RefHeading__96_503471281"/>
      <w:bookmarkStart w:id="55" w:name="__RefHeading__133_968872343"/>
      <w:bookmarkStart w:id="56" w:name="__RefHeading__192_1185372569"/>
      <w:bookmarkStart w:id="57" w:name="__RefHeading__172_870708744"/>
      <w:bookmarkStart w:id="58" w:name="__RefHeading__149_78310084"/>
      <w:bookmarkStart w:id="59" w:name="__RefHeading__131_968872343"/>
      <w:bookmarkStart w:id="60" w:name="__RefHeading__840_1185372569"/>
      <w:bookmarkStart w:id="61" w:name="_Toc24485892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/>
        <w:t>IPS Centering</w:t>
      </w:r>
    </w:p>
    <w:p>
      <w:pPr>
        <w:pStyle w:val="style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/SeiSVN/seismic/HEPI/Common/Testing_Functions_HEPI/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Offset_STD_IPS_Readback_HEPI.m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Data in SVN at: </w:t>
      </w:r>
    </w:p>
    <w:p>
      <w:pPr>
        <w:pStyle w:val="style0"/>
        <w:ind w:firstLine="495" w:left="0" w:right="0"/>
      </w:pPr>
      <w:r>
        <w:rPr/>
        <w:t>/ligo/svncommon/SeiSVN/seismic/HEPI/H1/HAM5/Data/Static_Tests/</w:t>
      </w:r>
    </w:p>
    <w:p>
      <w:pPr>
        <w:pStyle w:val="style0"/>
        <w:ind w:firstLine="495" w:left="0" w:right="0"/>
      </w:pPr>
      <w:r>
        <w:rPr>
          <w:i w:val="false"/>
          <w:iCs w:val="false"/>
        </w:rPr>
        <w:t>LHO_HPI_HAM5_IPS_Read_Back_Unlocked_date.mat</w:t>
      </w:r>
    </w:p>
    <w:p>
      <w:pPr>
        <w:pStyle w:val="style0"/>
      </w:pPr>
      <w:r>
        <w:rPr/>
      </w:r>
    </w:p>
    <w:p>
      <w:pPr>
        <w:pStyle w:val="style0"/>
      </w:pPr>
      <w:r>
        <w:rPr/>
        <w:t>All the loops must be turned off during this test.</w:t>
      </w:r>
    </w:p>
    <w:p>
      <w:pPr>
        <w:pStyle w:val="style0"/>
      </w:pPr>
      <w:r>
        <w:rPr/>
      </w:r>
    </w:p>
    <w:tbl>
      <w:tblPr>
        <w:jc w:val="left"/>
        <w:tblBorders/>
      </w:tblPr>
      <w:tblGrid>
        <w:gridCol w:w="1033"/>
        <w:gridCol w:w="998"/>
        <w:gridCol w:w="1024"/>
        <w:gridCol w:w="1072"/>
        <w:gridCol w:w="1034"/>
        <w:gridCol w:w="1131"/>
        <w:gridCol w:w="1060"/>
        <w:gridCol w:w="1059"/>
        <w:gridCol w:w="847"/>
      </w:tblGrid>
      <w:tr>
        <w:trPr>
          <w:trHeight w:hRule="atLeast" w:val="300"/>
          <w:cantSplit w:val="false"/>
        </w:trPr>
        <w:tc>
          <w:tcPr>
            <w:tcW w:type="dxa" w:w="10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H1</w:t>
            </w:r>
          </w:p>
        </w:tc>
        <w:tc>
          <w:tcPr>
            <w:tcW w:type="dxa" w:w="102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H2</w:t>
            </w:r>
          </w:p>
        </w:tc>
        <w:tc>
          <w:tcPr>
            <w:tcW w:type="dxa" w:w="107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H3</w:t>
            </w:r>
          </w:p>
        </w:tc>
        <w:tc>
          <w:tcPr>
            <w:tcW w:type="dxa" w:w="103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H4</w:t>
            </w:r>
          </w:p>
        </w:tc>
        <w:tc>
          <w:tcPr>
            <w:tcW w:type="dxa" w:w="113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V1</w:t>
            </w:r>
          </w:p>
        </w:tc>
        <w:tc>
          <w:tcPr>
            <w:tcW w:type="dxa" w:w="106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V2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V3</w:t>
            </w:r>
          </w:p>
        </w:tc>
        <w:tc>
          <w:tcPr>
            <w:tcW w:type="dxa" w:w="84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V4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0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Mean (counts)</w:t>
            </w:r>
          </w:p>
        </w:tc>
        <w:tc>
          <w:tcPr>
            <w:tcW w:type="dxa" w:w="9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02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07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0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1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0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0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84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03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Acceptance</w:t>
            </w:r>
          </w:p>
        </w:tc>
        <w:tc>
          <w:tcPr>
            <w:tcW w:type="dxa" w:w="9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2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7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1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84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0"/>
      </w:pPr>
      <w:r>
        <w:rPr>
          <w:color w:val="FF3366"/>
        </w:rPr>
        <w:t>This data not in svn.  Will attempt to collect.  Data in section 10, Offset Local Drive and even more obvious, the Linearity Data in Section 11, will give a good indication of the unlocked free hanging position.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3"/>
        </w:numPr>
      </w:pPr>
      <w:bookmarkStart w:id="62" w:name="__RefHeading__842_1185372569"/>
      <w:bookmarkStart w:id="63" w:name="__RefHeading__436_1185372569"/>
      <w:bookmarkStart w:id="64" w:name="__RefHeading__194_1185372569"/>
      <w:bookmarkStart w:id="65" w:name="__RefHeading__174_870708744"/>
      <w:bookmarkStart w:id="66" w:name="__RefHeading__151_78310084"/>
      <w:bookmarkStart w:id="67" w:name="__RefHeading__135_968872343"/>
      <w:bookmarkStart w:id="68" w:name="__RefHeading__23752_1262773321"/>
      <w:bookmarkStart w:id="69" w:name="__RefHeading__23855_1262773321"/>
      <w:bookmarkStart w:id="70" w:name="__RefHeading__114_1080062798"/>
      <w:bookmarkStart w:id="71" w:name="__RefHeading__23660_1262773321"/>
      <w:bookmarkStart w:id="72" w:name="__RefHeading__98_503471281"/>
      <w:bookmarkStart w:id="73" w:name="_Toc244858922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/>
        <w:t>Sensor ASD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74" w:name="__DdeLink__7811_1262773321"/>
      <w:bookmarkEnd w:id="74"/>
      <w:r>
        <w:rPr/>
        <w:t>/SeiSVN/seismic/HEPI/Common/Testing_Functions_HEPI/ASD_Measurements_Local_HEPI.m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>Data in SVN at: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SeiSVN/seismic/HEPI/H1/HAM5/Data/Spectra/Undamped/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LHO_HPI_HAM5_ASD_m_IPS_L4C_20140904_10:43:17.mat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bookmarkStart w:id="75" w:name="__DdeLink__7818_1262773321"/>
      <w:bookmarkEnd w:id="75"/>
      <w:r>
        <w:rPr/>
        <w:t>/SeiSVN/seismic/HEPI/H1/HAM5/Data/Figures/Spectra/Undamped/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t>LHO_HPI_HAM5_ASD_m_IPS_L4C_20140904_10:43:17.fig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8400" cy="414401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single"/>
        </w:rPr>
        <w:t>Issues/difficulties/comments regarding this test:</w:t>
      </w:r>
    </w:p>
    <w:p>
      <w:pPr>
        <w:pStyle w:val="style203"/>
        <w:ind w:hanging="0" w:left="0" w:right="0"/>
      </w:pPr>
      <w:r>
        <w:rPr/>
        <w:t>Measurements were performed with all PreFilters ON.</w:t>
      </w:r>
    </w:p>
    <w:p>
      <w:pPr>
        <w:pStyle w:val="style203"/>
        <w:ind w:hanging="0" w:left="0" w:right="0"/>
      </w:pPr>
      <w:r>
        <w:rPr/>
      </w:r>
    </w:p>
    <w:p>
      <w:pPr>
        <w:pStyle w:val="style0"/>
      </w:pPr>
      <w:bookmarkStart w:id="76" w:name="__DdeLink__7826_1262773321"/>
      <w:bookmarkEnd w:id="76"/>
      <w:r>
        <w:rPr>
          <w:b/>
        </w:rPr>
        <w:t xml:space="preserve">Acceptance criteria: </w:t>
      </w:r>
      <w:r>
        <w:rPr>
          <w:b/>
          <w:color w:val="FF0000"/>
        </w:rPr>
        <w:t>??????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77" w:name="__DdeLink__7826_12627733211"/>
      <w:bookmarkStart w:id="78" w:name="__DdeLink__7826_12627733211"/>
      <w:bookmarkEnd w:id="78"/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79" w:name="__DdeLink__7795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?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79"/>
      <w:r>
        <w:rPr>
          <w:b/>
          <w:color w:val="FFFFFF"/>
        </w:rPr>
        <w:t>.</w:t>
      </w:r>
    </w:p>
    <w:p>
      <w:pPr>
        <w:pStyle w:val="style0"/>
      </w:pPr>
      <w:r>
        <w:rPr/>
      </w:r>
    </w:p>
    <w:p>
      <w:pPr>
        <w:pStyle w:val="style1"/>
        <w:pageBreakBefore/>
        <w:numPr>
          <w:ilvl w:val="0"/>
          <w:numId w:val="3"/>
        </w:numPr>
      </w:pPr>
      <w:bookmarkStart w:id="80" w:name="__RefHeading__552_1262773321"/>
      <w:bookmarkStart w:id="81" w:name="__RefHeading__116_1080062798"/>
      <w:bookmarkStart w:id="82" w:name="__RefHeading__137_968872343"/>
      <w:bookmarkStart w:id="83" w:name="__RefHeading__23662_1262773321"/>
      <w:bookmarkStart w:id="84" w:name="__RefHeading__153_78310084"/>
      <w:bookmarkStart w:id="85" w:name="__RefHeading__23857_1262773321"/>
      <w:bookmarkStart w:id="86" w:name="__RefHeading__23754_1262773321"/>
      <w:bookmarkStart w:id="87" w:name="__RefHeading__844_1185372569"/>
      <w:bookmarkStart w:id="88" w:name="__RefHeading__100_503471281"/>
      <w:bookmarkStart w:id="89" w:name="__RefHeading__438_1185372569"/>
      <w:bookmarkStart w:id="90" w:name="__RefHeading__176_870708744"/>
      <w:bookmarkStart w:id="91" w:name="__RefHeading__196_1185372569"/>
      <w:bookmarkStart w:id="92" w:name="_Toc244858923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>
        <w:rPr/>
        <w:t>SUS-watchdogs interaction test</w:t>
      </w:r>
    </w:p>
    <w:p>
      <w:pPr>
        <w:pStyle w:val="style0"/>
        <w:suppressAutoHyphens w:val="false"/>
        <w:spacing w:after="0" w:before="86" w:line="276" w:lineRule="auto"/>
      </w:pPr>
      <w:r>
        <w:rPr>
          <w:b/>
          <w:color w:val="FF0000"/>
        </w:rPr>
        <w:t>This test will be obsolete very soon, as the payload-HEPI WD connection is planned for removal.</w:t>
      </w:r>
    </w:p>
    <w:p>
      <w:pPr>
        <w:pStyle w:val="style0"/>
        <w:suppressAutoHyphens w:val="false"/>
        <w:spacing w:after="0" w:before="86" w:line="276" w:lineRule="auto"/>
      </w:pPr>
      <w:r>
        <w:rPr/>
        <w:t>. Set up a zero value on the payload watchogs.</w:t>
      </w:r>
    </w:p>
    <w:p>
      <w:pPr>
        <w:pStyle w:val="style0"/>
        <w:suppressAutoHyphens w:val="false"/>
        <w:spacing w:after="200" w:before="0" w:line="276" w:lineRule="auto"/>
      </w:pPr>
      <w:r>
        <w:rPr/>
        <w:t>. Check that the payload watchdog screen of HEPI tripped.</w:t>
      </w:r>
    </w:p>
    <w:p>
      <w:pPr>
        <w:pStyle w:val="style0"/>
        <w:suppressAutoHyphens w:val="false"/>
        <w:spacing w:after="200" w:before="0" w:line="276" w:lineRule="auto"/>
      </w:pPr>
      <w:r>
        <w:rPr/>
        <w:t>. In the payload watchdog screen, click on the OVERRIDE button and reset the watchdog.</w:t>
      </w:r>
    </w:p>
    <w:p>
      <w:pPr>
        <w:pStyle w:val="style0"/>
        <w:suppressAutoHyphens w:val="false"/>
        <w:spacing w:after="200" w:before="0" w:line="276" w:lineRule="auto"/>
      </w:pPr>
      <w:r>
        <w:rPr/>
        <w:t>. Do the same process for all the payloads</w:t>
      </w:r>
    </w:p>
    <w:p>
      <w:pPr>
        <w:pStyle w:val="style0"/>
      </w:pPr>
      <w:bookmarkStart w:id="93" w:name="__DdeLink__7828_1262773321"/>
      <w:bookmarkEnd w:id="93"/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  <w:t>The HEPI must trip when the payload watchdogs are tripped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  <w:t>The HEPI watchdogs could be reset when the OVERRIDE button is ON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bookmarkStart w:id="94" w:name="__DdeLink__7822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94"/>
      <w:r>
        <w:rPr>
          <w:b/>
          <w:color w:val="FFFFFF"/>
        </w:rPr>
        <w:t>.</w:t>
      </w:r>
    </w:p>
    <w:p>
      <w:pPr>
        <w:pStyle w:val="style203"/>
        <w:suppressAutoHyphens w:val="false"/>
        <w:spacing w:after="0" w:before="240" w:line="276" w:lineRule="auto"/>
        <w:ind w:hanging="0" w:left="0" w:right="0"/>
      </w:pPr>
      <w:r>
        <w:rPr/>
        <w:t>When this test is done, reset everything (OVERRIDE button OFF, put back the value on the payload watchdog).</w:t>
      </w:r>
    </w:p>
    <w:p>
      <w:pPr>
        <w:pStyle w:val="style1"/>
        <w:numPr>
          <w:ilvl w:val="0"/>
          <w:numId w:val="3"/>
        </w:numPr>
      </w:pPr>
      <w:bookmarkStart w:id="95" w:name="__RefHeading__139_968872343"/>
      <w:bookmarkStart w:id="96" w:name="__RefHeading__118_1080062798"/>
      <w:bookmarkStart w:id="97" w:name="__RefHeading__23859_1262773321"/>
      <w:bookmarkStart w:id="98" w:name="__RefHeading__554_1262773321"/>
      <w:bookmarkStart w:id="99" w:name="__RefHeading__23756_1262773321"/>
      <w:bookmarkStart w:id="100" w:name="__RefHeading__102_503471281"/>
      <w:bookmarkStart w:id="101" w:name="__RefHeading__155_78310084"/>
      <w:bookmarkStart w:id="102" w:name="__RefHeading__178_870708744"/>
      <w:bookmarkStart w:id="103" w:name="__RefHeading__198_1185372569"/>
      <w:bookmarkStart w:id="104" w:name="__RefHeading__440_1185372569"/>
      <w:bookmarkStart w:id="105" w:name="__RefHeading__846_1185372569"/>
      <w:bookmarkStart w:id="106" w:name="__RefHeading__23664_1262773321"/>
      <w:bookmarkStart w:id="107" w:name="_Toc24485892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rPr/>
        <w:t xml:space="preserve">Static Test local drive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08" w:name="__DdeLink__7815_1262773321"/>
      <w:bookmarkEnd w:id="108"/>
      <w:r>
        <w:rPr>
          <w:b/>
        </w:rPr>
        <w:t xml:space="preserve">Scripts files for processing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/SeiSVN/seismic/HEPI/Common/Testing_Functions_HEPI/</w:t>
      </w:r>
      <w:bookmarkStart w:id="109" w:name="__DdeLink__7813_1262773321"/>
      <w:bookmarkEnd w:id="109"/>
      <w:r>
        <w:rPr/>
        <w:t>Static_Test_Local_Basis_HEPI.m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Data File: /SeiSVN/seismic/HEPI/H1/HAM5/Data/Static_tests/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LHO_HPI_HAM5_Offset_Local_Drive_20140422.mat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10" w:name="__DdeLink__7815_12627733211"/>
      <w:bookmarkStart w:id="111" w:name="__DdeLink__7815_12627733211"/>
      <w:bookmarkEnd w:id="111"/>
      <w:r>
        <w:rPr/>
      </w:r>
    </w:p>
    <w:p>
      <w:pPr>
        <w:pStyle w:val="style188"/>
      </w:pPr>
      <w:r>
        <w:rPr/>
        <w:t xml:space="preserve">. </w:t>
      </w:r>
      <w:r>
        <w:rPr>
          <w:b/>
          <w:bCs/>
          <w:i/>
          <w:iCs/>
        </w:rPr>
        <w:t>Drive of 5000 counts</w:t>
      </w:r>
    </w:p>
    <w:tbl>
      <w:tblPr>
        <w:jc w:val="left"/>
        <w:tblBorders/>
      </w:tblPr>
      <w:tblGrid>
        <w:gridCol w:w="496"/>
        <w:gridCol w:w="731"/>
        <w:gridCol w:w="963"/>
        <w:gridCol w:w="950"/>
        <w:gridCol w:w="962"/>
        <w:gridCol w:w="950"/>
        <w:gridCol w:w="962"/>
        <w:gridCol w:w="952"/>
        <w:gridCol w:w="982"/>
      </w:tblGrid>
      <w:tr>
        <w:trPr>
          <w:trHeight w:hRule="atLeast" w:val="300"/>
          <w:cantSplit w:val="false"/>
        </w:trPr>
        <w:tc>
          <w:tcPr>
            <w:tcW w:type="dxa" w:w="4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/>
            </w:r>
          </w:p>
        </w:tc>
        <w:tc>
          <w:tcPr>
            <w:tcW w:type="dxa" w:w="7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H1</w:t>
            </w:r>
          </w:p>
        </w:tc>
        <w:tc>
          <w:tcPr>
            <w:tcW w:type="dxa" w:w="96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H2</w:t>
            </w:r>
          </w:p>
        </w:tc>
        <w:tc>
          <w:tcPr>
            <w:tcW w:type="dxa" w:w="95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H3</w:t>
            </w:r>
          </w:p>
        </w:tc>
        <w:tc>
          <w:tcPr>
            <w:tcW w:type="dxa" w:w="96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H4</w:t>
            </w:r>
          </w:p>
        </w:tc>
        <w:tc>
          <w:tcPr>
            <w:tcW w:type="dxa" w:w="95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V1</w:t>
            </w:r>
          </w:p>
        </w:tc>
        <w:tc>
          <w:tcPr>
            <w:tcW w:type="dxa" w:w="96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V2</w:t>
            </w:r>
          </w:p>
        </w:tc>
        <w:tc>
          <w:tcPr>
            <w:tcW w:type="dxa" w:w="95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V3</w:t>
            </w:r>
          </w:p>
        </w:tc>
        <w:tc>
          <w:tcPr>
            <w:tcW w:type="dxa" w:w="98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H1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-286" w:val="left"/>
                <w:tab w:leader="none" w:pos="312" w:val="left"/>
                <w:tab w:leader="none" w:pos="432" w:val="left"/>
                <w:tab w:leader="none" w:pos="528" w:val="left"/>
                <w:tab w:leader="none" w:pos="624" w:val="left"/>
              </w:tabs>
              <w:suppressAutoHyphens w:val="false"/>
              <w:ind w:hanging="0" w:left="-96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10897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-2440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-600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-5290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-311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-402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288</w:t>
            </w:r>
          </w:p>
        </w:tc>
        <w:tc>
          <w:tcPr>
            <w:tcW w:type="dxa" w:w="98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46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H2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-2108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11625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-5897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-836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-546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-483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type="dxa" w:w="98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237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H3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-335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-4970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10365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-2434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-425</w:t>
            </w:r>
          </w:p>
        </w:tc>
        <w:tc>
          <w:tcPr>
            <w:tcW w:type="dxa" w:w="98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-527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H4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-5156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-545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-2203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10792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376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295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-346</w:t>
            </w:r>
          </w:p>
        </w:tc>
        <w:tc>
          <w:tcPr>
            <w:tcW w:type="dxa" w:w="98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V1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-317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-396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575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8305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969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-1753</w:t>
            </w:r>
          </w:p>
        </w:tc>
        <w:tc>
          <w:tcPr>
            <w:tcW w:type="dxa" w:w="98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768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V2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-339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-351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345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423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933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8127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type="dxa" w:w="98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-1708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V3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-412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-115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-1484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1072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7974</w:t>
            </w:r>
          </w:p>
        </w:tc>
        <w:tc>
          <w:tcPr>
            <w:tcW w:type="dxa" w:w="98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757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V4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328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-456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-167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-1233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1022</w:t>
            </w:r>
          </w:p>
        </w:tc>
        <w:tc>
          <w:tcPr>
            <w:tcW w:type="dxa" w:w="982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8" w:val="left"/>
                <w:tab w:leader="none" w:pos="606" w:val="left"/>
                <w:tab w:leader="none" w:pos="722" w:val="left"/>
                <w:tab w:leader="none" w:pos="724" w:val="left"/>
                <w:tab w:leader="none" w:pos="726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7513</w:t>
            </w:r>
          </w:p>
        </w:tc>
      </w:tr>
    </w:tbl>
    <w:p>
      <w:pPr>
        <w:pStyle w:val="style221"/>
        <w:spacing w:after="28" w:before="28"/>
        <w:jc w:val="center"/>
      </w:pPr>
      <w:r>
        <w:rPr>
          <w:i/>
          <w:iCs/>
          <w:u w:val="single"/>
        </w:rPr>
        <w:t>Table - Main couplings and cross couplings</w:t>
      </w:r>
    </w:p>
    <w:p>
      <w:pPr>
        <w:pStyle w:val="style221"/>
        <w:spacing w:after="28" w:before="28"/>
        <w:jc w:val="center"/>
      </w:pPr>
      <w:r>
        <w:rPr/>
      </w:r>
    </w:p>
    <w:p>
      <w:pPr>
        <w:pStyle w:val="style199"/>
        <w:spacing w:after="28" w:before="28"/>
        <w:jc w:val="both"/>
      </w:pPr>
      <w:r>
        <w:rPr/>
        <w:t xml:space="preserve"> </w:t>
      </w:r>
    </w:p>
    <w:p>
      <w:pPr>
        <w:pStyle w:val="style199"/>
        <w:spacing w:after="28" w:before="28"/>
        <w:jc w:val="both"/>
      </w:pPr>
      <w:bookmarkStart w:id="112" w:name="__DdeLink__7839_1262773321"/>
      <w:bookmarkEnd w:id="112"/>
      <w:r>
        <w:rPr>
          <w:u w:val="single"/>
        </w:rPr>
        <w:t>Issues/difficulties encountered during this test</w:t>
      </w:r>
      <w:r>
        <w:rPr/>
        <w:t>:  No issues.</w:t>
      </w:r>
    </w:p>
    <w:p>
      <w:pPr>
        <w:pStyle w:val="style199"/>
        <w:spacing w:after="28" w:before="28"/>
        <w:jc w:val="both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  <w:jc w:val="both"/>
      </w:pPr>
      <w:r>
        <w:rPr/>
      </w:r>
    </w:p>
    <w:p>
      <w:pPr>
        <w:pStyle w:val="style199"/>
        <w:spacing w:after="28" w:before="28"/>
        <w:jc w:val="both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bookmarkStart w:id="113" w:name="__DdeLink__7832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113"/>
      <w:r>
        <w:rPr>
          <w:b/>
          <w:color w:val="FFFFFF"/>
        </w:rPr>
        <w:t>.</w:t>
      </w:r>
    </w:p>
    <w:p>
      <w:pPr>
        <w:pStyle w:val="style188"/>
      </w:pPr>
      <w:r>
        <w:rPr/>
      </w:r>
    </w:p>
    <w:p>
      <w:pPr>
        <w:pStyle w:val="style1"/>
        <w:numPr>
          <w:ilvl w:val="0"/>
          <w:numId w:val="3"/>
        </w:numPr>
      </w:pPr>
      <w:bookmarkStart w:id="114" w:name="__RefHeading__23760_1262773321"/>
      <w:bookmarkStart w:id="115" w:name="__RefHeading__182_870708744"/>
      <w:bookmarkStart w:id="116" w:name="__RefHeading__106_503471281"/>
      <w:bookmarkStart w:id="117" w:name="__RefHeading__12396_1262773321"/>
      <w:bookmarkStart w:id="118" w:name="__RefHeading__202_1185372569"/>
      <w:bookmarkStart w:id="119" w:name="__RefHeading__850_1185372569"/>
      <w:bookmarkStart w:id="120" w:name="__RefHeading__23668_1262773321"/>
      <w:bookmarkStart w:id="121" w:name="__RefHeading__159_78310084"/>
      <w:bookmarkStart w:id="122" w:name="__RefHeading__23863_1262773321"/>
      <w:bookmarkStart w:id="123" w:name="__RefHeading__143_968872343"/>
      <w:bookmarkStart w:id="124" w:name="__RefHeading__122_1080062798"/>
      <w:bookmarkStart w:id="125" w:name="__RefHeading__444_1185372569"/>
      <w:bookmarkStart w:id="126" w:name="_Toc244858925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>
        <w:rPr/>
        <w:t>Linearity Test/Range of motion in the local basis</w:t>
      </w:r>
    </w:p>
    <w:p>
      <w:pPr>
        <w:pStyle w:val="style199"/>
        <w:tabs>
          <w:tab w:leader="none" w:pos="0" w:val="left"/>
          <w:tab w:leader="none" w:pos="720" w:val="left"/>
        </w:tabs>
        <w:spacing w:after="28" w:before="28"/>
        <w:ind w:firstLine="495" w:left="0" w:right="0"/>
        <w:jc w:val="both"/>
      </w:pPr>
      <w:r>
        <w:rPr>
          <w:b w:val="false"/>
          <w:bCs w:val="false"/>
          <w:color w:val="000000"/>
        </w:rPr>
        <w:t>Range of Motion: All dofs good at 1mm except neg V1 &amp; V4.  These two dofs were good at 0.8mm but not at 0.9mm.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27" w:name="__DdeLink__7811_12627733211"/>
      <w:bookmarkEnd w:id="127"/>
      <w:r>
        <w:rPr/>
        <w:t>/SeiSVN/seismic/HEPI/Common/Testing_Functions_HEPI/Linearity_Test_Awgstream_HEPI.m</w:t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>Data in SVN at:</w:t>
      </w:r>
    </w:p>
    <w:p>
      <w:pPr>
        <w:pStyle w:val="style0"/>
        <w:tabs>
          <w:tab w:leader="none" w:pos="1215" w:val="left"/>
          <w:tab w:leader="none" w:pos="1710" w:val="left"/>
          <w:tab w:leader="none" w:pos="2205" w:val="left"/>
          <w:tab w:leader="none" w:pos="2700" w:val="left"/>
          <w:tab w:leader="none" w:pos="3195" w:val="left"/>
          <w:tab w:leader="none" w:pos="3690" w:val="left"/>
          <w:tab w:leader="none" w:pos="4185" w:val="left"/>
          <w:tab w:leader="none" w:pos="4680" w:val="left"/>
          <w:tab w:leader="none" w:pos="4950" w:val="left"/>
          <w:tab w:leader="none" w:pos="5175" w:val="left"/>
        </w:tabs>
        <w:ind w:hanging="0" w:left="495" w:right="0"/>
      </w:pPr>
      <w:r>
        <w:rPr/>
        <w:t>SeiSVN/seismic/HEPI/H1/HAM5/Data/Linearity_Test/ H1_HPI_HAM5_Linearity_test_20140418T153926.mat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/>
      </w:r>
    </w:p>
    <w:tbl>
      <w:tblPr>
        <w:jc w:val="center"/>
        <w:tblBorders/>
      </w:tblPr>
      <w:tblGrid>
        <w:gridCol w:w="1292"/>
        <w:gridCol w:w="1260"/>
        <w:gridCol w:w="1110"/>
      </w:tblGrid>
      <w:tr>
        <w:trPr>
          <w:trHeight w:hRule="atLeast" w:val="300"/>
          <w:cantSplit w:val="false"/>
        </w:trPr>
        <w:tc>
          <w:tcPr>
            <w:tcW w:type="dxa" w:w="12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Slopes</w:t>
            </w:r>
          </w:p>
        </w:tc>
        <w:tc>
          <w:tcPr>
            <w:tcW w:type="dxa" w:w="111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Offsets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H1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2.26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1270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H2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2.41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-769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H3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2.19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3073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H4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2.26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3845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V1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1.74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398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V2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1.65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1392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V3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1.64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-419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V4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1.56</w:t>
            </w:r>
          </w:p>
        </w:tc>
        <w:tc>
          <w:tcPr>
            <w:tcW w:type="dxa" w:w="111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558</w:t>
            </w:r>
          </w:p>
        </w:tc>
      </w:tr>
    </w:tbl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tab/>
        <w:t>/SeiSVN/seismic/HEPI/H1/HAM5/Data/Figures/Linearity_Test/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248400" cy="366903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66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99"/>
        <w:spacing w:after="28" w:before="28"/>
        <w:jc w:val="both"/>
      </w:pPr>
      <w:r>
        <w:rPr/>
      </w:r>
    </w:p>
    <w:p>
      <w:pPr>
        <w:pStyle w:val="style199"/>
        <w:spacing w:after="28" w:before="28"/>
        <w:jc w:val="both"/>
      </w:pPr>
      <w:bookmarkStart w:id="128" w:name="__DdeLink__7842_1262773321"/>
      <w:r>
        <w:rPr>
          <w:u w:val="single"/>
        </w:rPr>
        <w:t>Issues/difficulties encountered during this test</w:t>
      </w:r>
      <w:bookmarkEnd w:id="128"/>
      <w:r>
        <w:rPr/>
        <w:t>: No issues, first try results.</w:t>
      </w:r>
    </w:p>
    <w:p>
      <w:pPr>
        <w:pStyle w:val="style0"/>
      </w:pPr>
      <w:r>
        <w:rPr>
          <w:b/>
        </w:rPr>
        <w:t>Acceptance criteria:</w:t>
      </w:r>
      <w:r>
        <w:rPr>
          <w:b w:val="false"/>
          <w:bCs w:val="false"/>
        </w:rPr>
        <w:t xml:space="preserve"> Looks good enough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>
          <w:color w:val="FF0000"/>
        </w:rPr>
        <w:t>???????</w:t>
      </w:r>
    </w:p>
    <w:p>
      <w:pPr>
        <w:pStyle w:val="style199"/>
        <w:spacing w:after="28" w:before="28"/>
        <w:jc w:val="both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bookmarkStart w:id="129" w:name="__DdeLink__7867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</w:t>
      </w:r>
      <w:r>
        <w:rPr>
          <w:b/>
          <w:color w:val="FF0000"/>
          <w:u w:val="single"/>
        </w:rPr>
        <w:t xml:space="preserve"> </w:t>
      </w:r>
      <w:r>
        <w:rPr>
          <w:b/>
          <w:color w:val="000000"/>
          <w:u w:val="single"/>
        </w:rPr>
        <w:t>X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129"/>
      <w:r>
        <w:rPr>
          <w:b/>
          <w:color w:val="FFFFFF"/>
        </w:rPr>
        <w:t>.</w:t>
      </w:r>
    </w:p>
    <w:p>
      <w:pPr>
        <w:pStyle w:val="style2"/>
        <w:numPr>
          <w:ilvl w:val="1"/>
          <w:numId w:val="2"/>
        </w:numPr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130" w:name="__RefHeading__448_1185372569"/>
      <w:bookmarkStart w:id="131" w:name="__RefHeading__163_78310084"/>
      <w:bookmarkStart w:id="132" w:name="__RefHeading__161_968872343"/>
      <w:bookmarkStart w:id="133" w:name="__RefHeading__186_870708744"/>
      <w:bookmarkStart w:id="134" w:name="__RefHeading__206_1185372569"/>
      <w:bookmarkStart w:id="135" w:name="__RefHeading__854_1185372569"/>
      <w:bookmarkStart w:id="136" w:name="_Toc244858926"/>
      <w:bookmarkEnd w:id="130"/>
      <w:bookmarkEnd w:id="131"/>
      <w:bookmarkEnd w:id="132"/>
      <w:bookmarkEnd w:id="133"/>
      <w:bookmarkEnd w:id="134"/>
      <w:bookmarkEnd w:id="135"/>
      <w:bookmarkEnd w:id="136"/>
      <w:r>
        <w:rPr/>
        <w:t>Actuator Plate to Shields gap—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Perform this test ONLY if the range of motion test failed.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Three gaps per actuator need to be checked. </w:t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0.1” shim must fit into the gap #1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0.05 shim must fit into gap #2 and #3</w:t>
      </w:r>
    </w:p>
    <w:p>
      <w:pPr>
        <w:pStyle w:val="style0"/>
        <w:tabs>
          <w:tab w:leader="none" w:pos="720" w:val="left"/>
        </w:tabs>
        <w:jc w:val="center"/>
      </w:pPr>
      <w:r>
        <w:rPr/>
      </w:r>
    </w:p>
    <w:tbl>
      <w:tblPr>
        <w:jc w:val="left"/>
        <w:tblInd w:type="dxa" w:w="880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861"/>
        <w:gridCol w:w="861"/>
        <w:gridCol w:w="4305"/>
      </w:tblGrid>
      <w:tr>
        <w:trPr>
          <w:cantSplit w:val="false"/>
        </w:trPr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Horizontal</w:t>
            </w:r>
          </w:p>
        </w:tc>
        <w:tc>
          <w:tcPr>
            <w:tcW w:type="dxa" w:w="4305"/>
            <w:gridSpan w:val="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Vertical</w:t>
            </w:r>
          </w:p>
        </w:tc>
      </w:tr>
      <w:tr>
        <w:trPr>
          <w:cantSplit w:val="false"/>
        </w:trPr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Gap #1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Gap #2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Gap #3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Gap #1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Gap #2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Gap #3</w:t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Pier 1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Pier 2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Pier 3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>
                <w:b/>
                <w:bCs/>
                <w:sz w:val="20"/>
                <w:szCs w:val="20"/>
              </w:rPr>
              <w:t>Pier 4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3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720" w:val="left"/>
        </w:tabs>
        <w:jc w:val="center"/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1"/>
        <w:numPr>
          <w:ilvl w:val="0"/>
          <w:numId w:val="3"/>
        </w:numPr>
      </w:pPr>
      <w:bookmarkStart w:id="137" w:name="__RefHeading__23670_1262773321"/>
      <w:bookmarkStart w:id="138" w:name="__RefHeading__165_78310084"/>
      <w:bookmarkStart w:id="139" w:name="__RefHeading__188_870708744"/>
      <w:bookmarkStart w:id="140" w:name="__RefHeading__856_1185372569"/>
      <w:bookmarkStart w:id="141" w:name="__RefHeading__145_968872343"/>
      <w:bookmarkStart w:id="142" w:name="__RefHeading__450_1185372569"/>
      <w:bookmarkStart w:id="143" w:name="__RefHeading__12398_1262773321"/>
      <w:bookmarkStart w:id="144" w:name="__RefHeading__108_503471281"/>
      <w:bookmarkStart w:id="145" w:name="__RefHeading__23865_1262773321"/>
      <w:bookmarkStart w:id="146" w:name="__RefHeading__124_1080062798"/>
      <w:bookmarkStart w:id="147" w:name="__RefHeading__23762_1262773321"/>
      <w:bookmarkStart w:id="148" w:name="__RefHeading__208_1185372569"/>
      <w:bookmarkStart w:id="149" w:name="_Toc244858927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>
        <w:rPr/>
        <w:t>Valve Check—Test Not performed yet.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50" w:name="__DdeLink__7811_12627733212"/>
      <w:bookmarkEnd w:id="150"/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51" w:name="__DdeLink__7811_126277332121"/>
      <w:bookmarkEnd w:id="151"/>
      <w:r>
        <w:rPr/>
        <w:t>/SeiSVN/seismic/HEPI/H1/HAM5/Scripts/Valve_Check/plot_valve_check.m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>Data in SVN at: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SeiSVN/seismic/HEPI/H1/HAM5/Data/Spectra/Undamped/</w:t>
      </w:r>
    </w:p>
    <w:p>
      <w:pPr>
        <w:pStyle w:val="style203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/SeiSVN/seismic/HEPI/H1/HAM5/Scripts/Valve_Check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/>
        <w:t>/SeiSVN/seismic/HEPI/H1/HAM5/Scripts/Valve_Check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</w:pPr>
      <w:r>
        <w:rPr>
          <w:b/>
        </w:rPr>
        <w:t xml:space="preserve">Acceptance criteria: </w:t>
      </w:r>
      <w:r>
        <w:rPr>
          <w:b/>
          <w:color w:val="FF0000"/>
        </w:rPr>
        <w:t>????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152" w:name="__RefHeading__190_870708744"/>
      <w:bookmarkStart w:id="153" w:name="__RefHeading__23764_1262773321"/>
      <w:bookmarkStart w:id="154" w:name="__RefHeading__167_78310084"/>
      <w:bookmarkStart w:id="155" w:name="__RefHeading__147_968872343"/>
      <w:bookmarkStart w:id="156" w:name="__RefHeading__23672_1262773321"/>
      <w:bookmarkStart w:id="157" w:name="__DdeLink__7847_1262773321"/>
      <w:bookmarkStart w:id="158" w:name="__RefHeading__210_1185372569"/>
      <w:bookmarkStart w:id="159" w:name="__RefHeading__23867_1262773321"/>
      <w:bookmarkStart w:id="160" w:name="__RefHeading__12400_1262773321"/>
      <w:bookmarkStart w:id="161" w:name="__RefHeading__110_503471281"/>
      <w:bookmarkStart w:id="162" w:name="__RefHeading__452_1185372569"/>
      <w:bookmarkStart w:id="163" w:name="__RefHeading__858_1185372569"/>
      <w:bookmarkStart w:id="164" w:name="__RefHeading__126_1080062798"/>
      <w:bookmarkStart w:id="165" w:name="_Toc244858928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>
        <w:rPr/>
        <w:t>Local-to-local</w:t>
      </w:r>
      <w:bookmarkStart w:id="166" w:name="Bookmark"/>
      <w:bookmarkEnd w:id="166"/>
      <w:r>
        <w:rPr/>
        <w:t xml:space="preserve"> measurements</w:t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8" w:val="single"/>
          <w:left w:color="000001" w:space="0" w:sz="8" w:val="single"/>
          <w:bottom w:color="000001" w:space="0" w:sz="8" w:val="single"/>
        </w:tblBorders>
      </w:tblPr>
      <w:tblGrid>
        <w:gridCol w:w="1229"/>
        <w:gridCol w:w="1188"/>
        <w:gridCol w:w="1669"/>
        <w:gridCol w:w="1219"/>
        <w:gridCol w:w="1380"/>
        <w:gridCol w:w="1382"/>
        <w:gridCol w:w="1666"/>
      </w:tblGrid>
      <w:tr>
        <w:trPr>
          <w:trHeight w:hRule="atLeast" w:val="315"/>
          <w:cantSplit w:val="false"/>
        </w:trPr>
        <w:tc>
          <w:tcPr>
            <w:tcW w:type="dxa" w:w="122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Band (Hz)</w:t>
            </w:r>
          </w:p>
        </w:tc>
        <w:tc>
          <w:tcPr>
            <w:tcW w:type="dxa" w:w="1188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Resolution</w:t>
            </w:r>
          </w:p>
        </w:tc>
        <w:tc>
          <w:tcPr>
            <w:tcW w:type="dxa" w:w="166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Amplitude</w:t>
            </w:r>
          </w:p>
        </w:tc>
        <w:tc>
          <w:tcPr>
            <w:tcW w:type="dxa" w:w="121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Nreps</w:t>
            </w:r>
          </w:p>
        </w:tc>
        <w:tc>
          <w:tcPr>
            <w:tcW w:type="dxa" w:w="1380"/>
            <w:tcBorders>
              <w:top w:color="000001" w:space="0" w:sz="8" w:val="single"/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(s)</w:t>
            </w:r>
          </w:p>
        </w:tc>
        <w:tc>
          <w:tcPr>
            <w:tcW w:type="dxa" w:w="1382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(min)</w:t>
            </w:r>
          </w:p>
        </w:tc>
        <w:tc>
          <w:tcPr>
            <w:tcW w:type="dxa" w:w="166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(h)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2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500-1000</w:t>
            </w:r>
          </w:p>
        </w:tc>
        <w:tc>
          <w:tcPr>
            <w:tcW w:type="dxa" w:w="1188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0.25</w:t>
            </w:r>
          </w:p>
        </w:tc>
        <w:tc>
          <w:tcPr>
            <w:tcW w:type="dxa" w:w="166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0.5x1500 – 1500</w:t>
            </w:r>
          </w:p>
        </w:tc>
        <w:tc>
          <w:tcPr>
            <w:tcW w:type="dxa" w:w="121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Cs/>
                <w:color w:val="000000"/>
              </w:rPr>
              <w:t>250</w:t>
            </w:r>
          </w:p>
        </w:tc>
        <w:tc>
          <w:tcPr>
            <w:tcW w:type="dxa" w:w="1380"/>
            <w:tcBorders>
              <w:top w:color="000001" w:space="0" w:sz="8" w:val="single"/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4176*</w:t>
            </w:r>
          </w:p>
        </w:tc>
        <w:tc>
          <w:tcPr>
            <w:tcW w:type="dxa" w:w="1382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69.6</w:t>
            </w:r>
          </w:p>
        </w:tc>
        <w:tc>
          <w:tcPr>
            <w:tcW w:type="dxa" w:w="166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Cs/>
                <w:color w:val="000000"/>
              </w:rPr>
              <w:t>1*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2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100 - 500</w:t>
            </w:r>
          </w:p>
        </w:tc>
        <w:tc>
          <w:tcPr>
            <w:tcW w:type="dxa" w:w="1188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</w:t>
            </w:r>
          </w:p>
        </w:tc>
        <w:tc>
          <w:tcPr>
            <w:tcW w:type="dxa" w:w="16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1500 – 1500</w:t>
            </w:r>
          </w:p>
        </w:tc>
        <w:tc>
          <w:tcPr>
            <w:tcW w:type="dxa" w:w="121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250</w:t>
            </w:r>
          </w:p>
        </w:tc>
        <w:tc>
          <w:tcPr>
            <w:tcW w:type="dxa" w:w="1380"/>
            <w:tcBorders>
              <w:top w:color="000001" w:space="0" w:sz="8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4176*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69.6</w:t>
            </w:r>
          </w:p>
        </w:tc>
        <w:tc>
          <w:tcPr>
            <w:tcW w:type="dxa" w:w="1666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1.2*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2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10 - 100</w:t>
            </w:r>
          </w:p>
        </w:tc>
        <w:tc>
          <w:tcPr>
            <w:tcW w:type="dxa" w:w="1188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0.25</w:t>
            </w:r>
          </w:p>
        </w:tc>
        <w:tc>
          <w:tcPr>
            <w:tcW w:type="dxa" w:w="16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1500 – 1500</w:t>
            </w:r>
          </w:p>
        </w:tc>
        <w:tc>
          <w:tcPr>
            <w:tcW w:type="dxa" w:w="121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200</w:t>
            </w:r>
          </w:p>
        </w:tc>
        <w:tc>
          <w:tcPr>
            <w:tcW w:type="dxa" w:w="138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6592*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109.9</w:t>
            </w:r>
          </w:p>
        </w:tc>
        <w:tc>
          <w:tcPr>
            <w:tcW w:type="dxa" w:w="1666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1.8*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2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0.7 - 10</w:t>
            </w:r>
          </w:p>
        </w:tc>
        <w:tc>
          <w:tcPr>
            <w:tcW w:type="dxa" w:w="1188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0.05</w:t>
            </w:r>
          </w:p>
        </w:tc>
        <w:tc>
          <w:tcPr>
            <w:tcW w:type="dxa" w:w="16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0.75x1500 – 1500</w:t>
            </w:r>
          </w:p>
        </w:tc>
        <w:tc>
          <w:tcPr>
            <w:tcW w:type="dxa" w:w="121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75</w:t>
            </w:r>
          </w:p>
        </w:tc>
        <w:tc>
          <w:tcPr>
            <w:tcW w:type="dxa" w:w="138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12320*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205.3</w:t>
            </w:r>
          </w:p>
        </w:tc>
        <w:tc>
          <w:tcPr>
            <w:tcW w:type="dxa" w:w="1666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3.4*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2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0.1 - 0.7</w:t>
            </w:r>
          </w:p>
        </w:tc>
        <w:tc>
          <w:tcPr>
            <w:tcW w:type="dxa" w:w="1188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0.025</w:t>
            </w:r>
          </w:p>
        </w:tc>
        <w:tc>
          <w:tcPr>
            <w:tcW w:type="dxa" w:w="16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0.75x1500 – 1500</w:t>
            </w:r>
          </w:p>
        </w:tc>
        <w:tc>
          <w:tcPr>
            <w:tcW w:type="dxa" w:w="121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30</w:t>
            </w:r>
          </w:p>
        </w:tc>
        <w:tc>
          <w:tcPr>
            <w:tcW w:type="dxa" w:w="138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10080*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168.0</w:t>
            </w:r>
          </w:p>
        </w:tc>
        <w:tc>
          <w:tcPr>
            <w:tcW w:type="dxa" w:w="1666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2.8*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2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0.01 - 0.1</w:t>
            </w:r>
          </w:p>
        </w:tc>
        <w:tc>
          <w:tcPr>
            <w:tcW w:type="dxa" w:w="1188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0.01</w:t>
            </w:r>
          </w:p>
        </w:tc>
        <w:tc>
          <w:tcPr>
            <w:tcW w:type="dxa" w:w="16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0.5x1500 – 1500</w:t>
            </w:r>
          </w:p>
        </w:tc>
        <w:tc>
          <w:tcPr>
            <w:tcW w:type="dxa" w:w="121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10</w:t>
            </w:r>
          </w:p>
        </w:tc>
        <w:tc>
          <w:tcPr>
            <w:tcW w:type="dxa" w:w="138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8960*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149.3</w:t>
            </w:r>
          </w:p>
        </w:tc>
        <w:tc>
          <w:tcPr>
            <w:tcW w:type="dxa" w:w="1666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2.5*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29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0.002 - 0.01</w:t>
            </w:r>
          </w:p>
        </w:tc>
        <w:tc>
          <w:tcPr>
            <w:tcW w:type="dxa" w:w="1188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0.002</w:t>
            </w:r>
          </w:p>
        </w:tc>
        <w:tc>
          <w:tcPr>
            <w:tcW w:type="dxa" w:w="1669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0.5x1500 – 1500</w:t>
            </w:r>
          </w:p>
        </w:tc>
        <w:tc>
          <w:tcPr>
            <w:tcW w:type="dxa" w:w="1219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</w:t>
            </w:r>
          </w:p>
        </w:tc>
        <w:tc>
          <w:tcPr>
            <w:tcW w:type="dxa" w:w="1380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12160*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202.7</w:t>
            </w:r>
          </w:p>
        </w:tc>
        <w:tc>
          <w:tcPr>
            <w:tcW w:type="dxa" w:w="1666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3.4*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29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88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69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19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380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382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66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16.1*</w:t>
            </w:r>
          </w:p>
        </w:tc>
      </w:tr>
    </w:tbl>
    <w:p>
      <w:pPr>
        <w:pStyle w:val="style0"/>
      </w:pPr>
      <w:r>
        <w:rPr/>
        <w:t>*: Values Need to be updated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 xml:space="preserve">Data files in SVN at: </w:t>
      </w:r>
    </w:p>
    <w:p>
      <w:pPr>
        <w:pStyle w:val="style0"/>
      </w:pPr>
      <w:r>
        <w:rPr/>
        <w:t>/SeiSVN/seismic/HEPI/H1/HAM5/Data/Transfer_Functions/Measurements/Undamped/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</w:t>
      </w:r>
      <w:bookmarkStart w:id="167" w:name="__DdeLink__2263_2126975357"/>
      <w:r>
        <w:rPr>
          <w:lang w:eastAsia="en-US"/>
        </w:rPr>
        <w:t>H</w:t>
      </w:r>
      <w:bookmarkEnd w:id="167"/>
      <w:r>
        <w:rPr>
          <w:lang w:eastAsia="en-US"/>
        </w:rPr>
        <w:t>AM5_Data_L2L_500Hz_1000Hz_20140904-152405.mat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LHO_HPI_HAM5_Data_L2L_100Hz_500Hz_20140904-162031.mat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LHO_HPI_HAM5_Data_L2L_10Hz_100Hz_20140904-164947.mat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LHO_HPI_HAM5_Data_L2L_700mHz_10Hz_20140904-173253.mat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LHO_HPI_HAM5_Data_L2L_100mHz_700mHz_20140904-195337.mat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LHO_HPI_HAM5_Data_L2L_10mHz_100mHz_20140904-215302.mat</w:t>
      </w:r>
    </w:p>
    <w:p>
      <w:pPr>
        <w:pStyle w:val="style203"/>
        <w:numPr>
          <w:ilvl w:val="0"/>
          <w:numId w:val="6"/>
        </w:numPr>
        <w:suppressAutoHyphens w:val="false"/>
      </w:pPr>
      <w:r>
        <w:rPr>
          <w:lang w:eastAsia="en-US"/>
        </w:rPr>
        <w:t>LHO_HPI_HAM5_Data_L2L_2mHz_10mHz_20140905-000831.mat</w:t>
      </w:r>
    </w:p>
    <w:p>
      <w:pPr>
        <w:pStyle w:val="style203"/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</w:tabs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720" w:val="left"/>
        </w:tabs>
      </w:pPr>
      <w:r>
        <w:rPr>
          <w:b/>
        </w:rPr>
        <w:t>Data is called by</w:t>
      </w:r>
      <w:r>
        <w:rPr/>
        <w:t xml:space="preserve"> </w:t>
      </w:r>
      <w:r>
        <w:rPr>
          <w:b/>
        </w:rPr>
        <w:t>Case #2 of:</w:t>
        <w:br/>
      </w:r>
      <w:r>
        <w:rPr/>
        <w:t>/ligo/svncommon/SeiSVN/seismic/HEPI/H1/HAM5/Data/Transfer_Functions/Measurements/</w:t>
      </w:r>
    </w:p>
    <w:p>
      <w:pPr>
        <w:pStyle w:val="style0"/>
        <w:tabs>
          <w:tab w:leader="none" w:pos="720" w:val="left"/>
        </w:tabs>
      </w:pPr>
      <w:r>
        <w:rPr/>
        <w:t>Measurements_List_H1_HPI_HAM5.m</w:t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spacing w:after="0" w:before="120"/>
      </w:pPr>
      <w:r>
        <w:rPr>
          <w:b/>
        </w:rPr>
        <w:t>Data collection script files:</w:t>
      </w:r>
    </w:p>
    <w:p>
      <w:pPr>
        <w:pStyle w:val="style0"/>
      </w:pPr>
      <w:r>
        <w:rPr/>
        <w:t>/SeiSVN/seismic/HEPI/Common//Transfer_Function_Scripts/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Run_TF_L2L_500Hz_1000Hz.m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Run_TF_L2L_100Hz_500Hz.m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Run_TF_L2L_10Hz_100Hz.m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Run_TF_L2L_700mHz_10Hz.m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Run_TF_L2L_100mHz_700mHz.m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Run_TF_L2L_10mHz_100mHz.m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Run_TF_L2L_2mHz_10mHz.m</w:t>
      </w:r>
    </w:p>
    <w:p>
      <w:pPr>
        <w:pStyle w:val="style0"/>
        <w:spacing w:after="0" w:before="120"/>
      </w:pPr>
      <w:r>
        <w:rPr>
          <w:b/>
        </w:rPr>
        <w:t xml:space="preserve">Scripts files for processing and plotting in SVN at: </w:t>
      </w:r>
    </w:p>
    <w:p>
      <w:pPr>
        <w:pStyle w:val="style0"/>
      </w:pPr>
      <w:r>
        <w:rPr/>
        <w:t>/SeiSVN/seismic/HEPI/H1/HAM5/Scripts/Control_Scripts/Version_5/</w:t>
      </w:r>
    </w:p>
    <w:p>
      <w:pPr>
        <w:pStyle w:val="style0"/>
        <w:numPr>
          <w:ilvl w:val="0"/>
          <w:numId w:val="5"/>
        </w:numPr>
        <w:tabs>
          <w:tab w:leader="none" w:pos="720" w:val="left"/>
        </w:tabs>
      </w:pPr>
      <w:r>
        <w:rPr>
          <w:color w:val="00000A"/>
        </w:rPr>
        <w:t>Step_1_</w:t>
      </w:r>
      <w:r>
        <w:rPr>
          <w:color w:val="00000A"/>
          <w:sz w:val="23"/>
          <w:szCs w:val="23"/>
        </w:rPr>
        <w:t>TF_Loc_to_Loc_H1_HEPI_HAM5.m</w:t>
      </w:r>
    </w:p>
    <w:p>
      <w:pPr>
        <w:pStyle w:val="style0"/>
        <w:spacing w:after="0" w:before="120"/>
      </w:pPr>
      <w:r>
        <w:rPr>
          <w:b/>
        </w:rPr>
        <w:t xml:space="preserve"> </w:t>
      </w:r>
      <w:r>
        <w:rPr>
          <w:b/>
        </w:rPr>
        <w:t>Figures in SVN at:</w:t>
      </w:r>
    </w:p>
    <w:p>
      <w:pPr>
        <w:pStyle w:val="style0"/>
      </w:pPr>
      <w:r>
        <w:rPr/>
        <w:t>/SeiSVN/seismic/HEPI/H1/HAM5/Data/ Figures/Transfer_Functions/Measurements/Undamped/</w:t>
      </w:r>
    </w:p>
    <w:p>
      <w:pPr>
        <w:pStyle w:val="style0"/>
        <w:numPr>
          <w:ilvl w:val="0"/>
          <w:numId w:val="10"/>
        </w:numPr>
        <w:tabs>
          <w:tab w:leader="none" w:pos="720" w:val="left"/>
        </w:tabs>
      </w:pPr>
      <w:r>
        <w:rPr/>
        <w:t>H1_HPI_HAM5_TF_L2L_Raw_from_ACT_to_IPS_2014_09_05.fig</w:t>
      </w:r>
    </w:p>
    <w:p>
      <w:pPr>
        <w:pStyle w:val="style0"/>
        <w:numPr>
          <w:ilvl w:val="0"/>
          <w:numId w:val="10"/>
        </w:numPr>
        <w:tabs>
          <w:tab w:leader="none" w:pos="720" w:val="left"/>
        </w:tabs>
      </w:pPr>
      <w:r>
        <w:rPr/>
        <w:t>H1_HPI_HAM5_TF_L2L_Raw_from_ACT_to_L4C_2014_09_05.fig</w:t>
      </w:r>
    </w:p>
    <w:p>
      <w:pPr>
        <w:pStyle w:val="style0"/>
        <w:spacing w:after="0" w:before="120"/>
      </w:pPr>
      <w:r>
        <w:rPr>
          <w:b/>
        </w:rPr>
        <w:t>Storage of measured transfer functions in the SVN at:</w:t>
      </w:r>
    </w:p>
    <w:p>
      <w:pPr>
        <w:pStyle w:val="style0"/>
      </w:pPr>
      <w:r>
        <w:rPr/>
        <w:t>/SeiSVN/seismic/HEPI/H1/HAM5/Data/Transfer_Functions/Simulations/Undamped/</w:t>
      </w:r>
    </w:p>
    <w:p>
      <w:pPr>
        <w:pStyle w:val="style203"/>
        <w:numPr>
          <w:ilvl w:val="0"/>
          <w:numId w:val="7"/>
        </w:numPr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</w:tabs>
      </w:pPr>
      <w:bookmarkStart w:id="168" w:name="__DdeLink__7858_1262773321"/>
      <w:bookmarkEnd w:id="168"/>
      <w:r>
        <w:rPr/>
        <w:t>H1_HPI_HAM5_TF_L2L_Raw_2014_09_05.mat</w:t>
      </w:r>
    </w:p>
    <w:p>
      <w:pPr>
        <w:pStyle w:val="style203"/>
      </w:pPr>
      <w:r>
        <w:rPr/>
      </w:r>
    </w:p>
    <w:p>
      <w:pPr>
        <w:pStyle w:val="style0"/>
      </w:pPr>
      <w:r>
        <w:rPr/>
        <w:t xml:space="preserve">The local-to-local transfer functions are presented below. 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8400" cy="374523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8400" cy="369824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-762000</wp:posOffset>
            </wp:positionV>
            <wp:extent cx="6238875" cy="1460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>
          <w:u w:val="single"/>
        </w:rPr>
        <w:t xml:space="preserve">Issues/difficulties/comments regarding this test:  </w:t>
      </w:r>
      <w:r>
        <w:rPr>
          <w:u w:val="none"/>
        </w:rPr>
        <w:t>Low coherence at lowest frequencies on the L4C.  Look at phase above these frequencies.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 xml:space="preserve">On IPS, the phase must be </w:t>
      </w:r>
      <w:bookmarkStart w:id="169" w:name="__DdeLink__7856_1262773321"/>
      <w:bookmarkEnd w:id="169"/>
      <w:r>
        <w:rPr/>
        <w:t>0º at DC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On geophones, the phase must be 90º at DC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Identical shape in each corner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/>
      </w:r>
    </w:p>
    <w:p>
      <w:pPr>
        <w:pStyle w:val="style0"/>
        <w:pageBreakBefore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/>
      </w:r>
    </w:p>
    <w:p>
      <w:pPr>
        <w:pStyle w:val="style1"/>
        <w:numPr>
          <w:ilvl w:val="0"/>
          <w:numId w:val="3"/>
        </w:numPr>
      </w:pPr>
      <w:bookmarkStart w:id="170" w:name="__RefHeading__2640_85073724"/>
      <w:bookmarkEnd w:id="170"/>
      <w:r>
        <w:rPr/>
        <w:t xml:space="preserve"> </w:t>
      </w:r>
      <w:bookmarkStart w:id="171" w:name="_Toc244858929"/>
      <w:bookmarkEnd w:id="171"/>
      <w:r>
        <w:rPr/>
        <w:t>Alignment offsets:</w:t>
      </w:r>
    </w:p>
    <w:p>
      <w:pPr>
        <w:pStyle w:val="style0"/>
      </w:pPr>
      <w:r>
        <w:rPr>
          <w:color w:val="000000"/>
        </w:rPr>
        <w:t xml:space="preserve">Those are the IPS readouts that were recorded with HEPI isolated, after alignment work by commissioners. </w:t>
      </w:r>
      <w:r>
        <w:rPr>
          <w:color w:val="FF0000"/>
        </w:rPr>
        <w:t xml:space="preserve"> </w:t>
      </w:r>
    </w:p>
    <w:p>
      <w:pPr>
        <w:pStyle w:val="style199"/>
        <w:spacing w:after="28" w:before="28"/>
        <w:jc w:val="both"/>
      </w:pPr>
      <w:r>
        <w:rPr/>
      </w:r>
    </w:p>
    <w:p>
      <w:pPr>
        <w:pStyle w:val="style199"/>
        <w:spacing w:after="28" w:before="28"/>
        <w:jc w:val="both"/>
      </w:pPr>
      <w:r>
        <w:rPr/>
      </w:r>
    </w:p>
    <w:p>
      <w:pPr>
        <w:pStyle w:val="style0"/>
      </w:pPr>
      <w:r>
        <w:rPr/>
      </w:r>
    </w:p>
    <w:tbl>
      <w:tblPr>
        <w:jc w:val="left"/>
        <w:tblBorders/>
      </w:tblPr>
      <w:tblGrid>
        <w:gridCol w:w="776"/>
        <w:gridCol w:w="1855"/>
        <w:gridCol w:w="1695"/>
        <w:gridCol w:w="1434"/>
      </w:tblGrid>
      <w:tr>
        <w:trPr>
          <w:trHeight w:hRule="atLeast" w:val="1200"/>
          <w:cantSplit w:val="false"/>
        </w:trPr>
        <w:tc>
          <w:tcPr>
            <w:tcW w:type="dxa" w:w="7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8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IPS Readouts HEPI Isolated</w:t>
            </w:r>
          </w:p>
        </w:tc>
        <w:tc>
          <w:tcPr>
            <w:tcW w:type="dxa" w:w="1695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Cartesian DOF</w:t>
            </w:r>
          </w:p>
        </w:tc>
        <w:tc>
          <w:tcPr>
            <w:tcW w:type="dxa" w:w="14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ourier 10 Pitch" w:hAnsi="Courier 10 Pitch"/>
              </w:rPr>
              <w:t>TARGET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H1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-500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type="dxa" w:w="14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ourier 10 Pitch" w:hAnsi="Courier 10 Pitch"/>
              </w:rPr>
              <w:t>47400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6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H2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-460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Y</w:t>
            </w:r>
          </w:p>
        </w:tc>
        <w:tc>
          <w:tcPr>
            <w:tcW w:type="dxa" w:w="14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ourier 10 Pitch" w:hAnsi="Courier 10 Pitch"/>
                <w:color w:val="000000"/>
                <w:lang w:eastAsia="en-US"/>
              </w:rPr>
              <w:t>-10280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6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H3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5320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Z</w:t>
            </w:r>
          </w:p>
        </w:tc>
        <w:tc>
          <w:tcPr>
            <w:tcW w:type="dxa" w:w="14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ourier 10 Pitch" w:hAnsi="Courier 10 Pitch"/>
                <w:color w:val="000000"/>
                <w:lang w:eastAsia="en-US"/>
              </w:rPr>
              <w:t>-16600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6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H4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2990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RX</w:t>
            </w:r>
          </w:p>
        </w:tc>
        <w:tc>
          <w:tcPr>
            <w:tcW w:type="dxa" w:w="14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ourier 10 Pitch" w:hAnsi="Courier 10 Pitch"/>
                <w:color w:val="000000"/>
              </w:rPr>
              <w:t>96900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6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V1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1760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RY</w:t>
            </w:r>
          </w:p>
        </w:tc>
        <w:tc>
          <w:tcPr>
            <w:tcW w:type="dxa" w:w="14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ourier 10 Pitch" w:hAnsi="Courier 10 Pitch"/>
                <w:color w:val="000000"/>
              </w:rPr>
              <w:t>-13100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6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V2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1710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RZ</w:t>
            </w:r>
          </w:p>
        </w:tc>
        <w:tc>
          <w:tcPr>
            <w:tcW w:type="dxa" w:w="14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ourier 10 Pitch" w:hAnsi="Courier 10 Pitch"/>
                <w:color w:val="000000"/>
              </w:rPr>
              <w:t>12500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6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V3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-3610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HP</w:t>
            </w:r>
          </w:p>
        </w:tc>
        <w:tc>
          <w:tcPr>
            <w:tcW w:type="dxa" w:w="14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ourier 10 Pitch" w:hAnsi="Courier 10 Pitch"/>
                <w:color w:val="000000"/>
              </w:rPr>
              <w:t>71300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6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V4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-1560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VP</w:t>
            </w:r>
          </w:p>
        </w:tc>
        <w:tc>
          <w:tcPr>
            <w:tcW w:type="dxa" w:w="14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ourier 10 Pitch" w:hAnsi="Courier 10 Pitch"/>
                <w:color w:val="000000"/>
              </w:rPr>
              <w:t>-19000</w:t>
            </w:r>
          </w:p>
        </w:tc>
      </w:tr>
    </w:tbl>
    <w:p>
      <w:pPr>
        <w:pStyle w:val="style199"/>
        <w:spacing w:after="28" w:before="28"/>
        <w:jc w:val="both"/>
      </w:pPr>
      <w:r>
        <w:rPr>
          <w:u w:val="single"/>
        </w:rPr>
        <w:t>Issues/difficulties encountered during this test</w:t>
      </w:r>
      <w:r>
        <w:rPr/>
        <w:t xml:space="preserve">: </w:t>
      </w:r>
    </w:p>
    <w:p>
      <w:pPr>
        <w:pStyle w:val="style0"/>
      </w:pPr>
      <w:r>
        <w:rPr>
          <w:lang w:eastAsia="en-US"/>
        </w:rPr>
        <w:t>Readings were retrieved from medm H1:HPI-HAM5_Cart_BIAS 4 Feb 2015.</w:t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</w:pPr>
      <w:r>
        <w:rPr/>
        <w:t>Offsets were recorded.</w:t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sectPr>
      <w:type w:val="continuous"/>
      <w:pgSz w:h="15840" w:w="12240"/>
      <w:pgMar w:bottom="1200" w:footer="720" w:gutter="0" w:header="720" w:left="1200" w:right="1200" w:top="120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Wingdings">
    <w:charset w:val="02"/>
    <w:family w:val="auto"/>
    <w:pitch w:val="default"/>
  </w:font>
  <w:font w:name="Times New Roman">
    <w:charset w:val="80"/>
    <w:family w:val="roman"/>
    <w:pitch w:val="default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4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3"/>
      <w:tabs>
        <w:tab w:leader="none" w:pos="4986" w:val="center"/>
        <w:tab w:leader="none" w:pos="9840" w:val="right"/>
        <w:tab w:leader="none" w:pos="9972" w:val="right"/>
      </w:tabs>
    </w:pPr>
    <w:r>
      <w:rPr>
        <w:b/>
        <w:caps/>
      </w:rPr>
      <w:t xml:space="preserve">                 </w:t>
    </w:r>
    <w:r>
      <w:rPr>
        <w:b/>
        <w:caps/>
      </w:rPr>
      <w:tab/>
    </w:r>
    <w:bookmarkStart w:id="0" w:name="__DdeLink__2287_2126975357"/>
    <w:bookmarkEnd w:id="0"/>
    <w:r>
      <w:rPr>
        <w:b/>
        <w:caps/>
      </w:rPr>
      <w:t>E1300831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3"/>
      <w:tabs>
        <w:tab w:leader="none" w:pos="4986" w:val="center"/>
        <w:tab w:leader="none" w:pos="9840" w:val="right"/>
        <w:tab w:leader="none" w:pos="9972" w:val="right"/>
      </w:tabs>
    </w:pPr>
    <w:r>
      <w:rPr>
        <w:b/>
        <w:caps/>
      </w:rPr>
      <w:t xml:space="preserve">                 </w:t>
    </w:r>
    <w:r>
      <w:rPr>
        <w:b/>
        <w:caps/>
      </w:rPr>
      <w:tab/>
      <w:t>E1300831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lvlText w:val="%1.%2.%3.%4.%5"/>
      <w:lvlJc w:val="left"/>
      <w:pPr>
        <w:ind w:hanging="1008" w:left="1008"/>
      </w:pPr>
    </w:lvl>
    <w:lvl w:ilvl="5">
      <w:start w:val="1"/>
      <w:numFmt w:val="decimal"/>
      <w:lvlText w:val="%1.%2.%3.%4.%5.%6"/>
      <w:lvlJc w:val="left"/>
      <w:pPr>
        <w:ind w:hanging="1152" w:left="1152"/>
      </w:pPr>
    </w:lvl>
    <w:lvl w:ilvl="6">
      <w:start w:val="1"/>
      <w:numFmt w:val="decimal"/>
      <w:lvlText w:val="%1.%2.%3.%4.%5.%6.%7"/>
      <w:lvlJc w:val="left"/>
      <w:pPr>
        <w:ind w:hanging="1296" w:left="1296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584" w:left="1584"/>
      </w:pPr>
    </w:lvl>
  </w:abstractNum>
  <w:abstractNum w:abstractNumId="4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7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9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en-US"/>
    </w:rPr>
  </w:style>
  <w:style w:styleId="style1" w:type="paragraph">
    <w:name w:val="Heading 1"/>
    <w:basedOn w:val="style0"/>
    <w:next w:val="style188"/>
    <w:pPr>
      <w:keepNext/>
      <w:spacing w:after="60" w:before="0"/>
    </w:pPr>
    <w:rPr>
      <w:rFonts w:cs="Arial"/>
      <w:b/>
      <w:bCs/>
      <w:sz w:val="28"/>
      <w:szCs w:val="28"/>
    </w:rPr>
  </w:style>
  <w:style w:styleId="style2" w:type="paragraph">
    <w:name w:val="Heading 2"/>
    <w:basedOn w:val="style0"/>
    <w:next w:val="style188"/>
    <w:pPr>
      <w:keepNext/>
      <w:numPr>
        <w:ilvl w:val="1"/>
        <w:numId w:val="1"/>
      </w:numPr>
      <w:spacing w:after="60" w:before="0"/>
      <w:outlineLvl w:val="1"/>
    </w:pPr>
    <w:rPr>
      <w:rFonts w:cs="Arial"/>
      <w:b/>
      <w:bCs/>
      <w:i/>
      <w:iCs/>
      <w:sz w:val="28"/>
      <w:szCs w:val="28"/>
    </w:rPr>
  </w:style>
  <w:style w:styleId="style3" w:type="paragraph">
    <w:name w:val="Heading 3"/>
    <w:basedOn w:val="style0"/>
    <w:next w:val="style188"/>
    <w:pPr>
      <w:keepNext/>
      <w:numPr>
        <w:ilvl w:val="2"/>
        <w:numId w:val="1"/>
      </w:numPr>
      <w:spacing w:after="60" w:before="240"/>
      <w:outlineLvl w:val="2"/>
    </w:pPr>
    <w:rPr>
      <w:rFonts w:cs="Arial"/>
      <w:b/>
      <w:bCs/>
      <w:sz w:val="26"/>
      <w:szCs w:val="26"/>
    </w:rPr>
  </w:style>
  <w:style w:styleId="style4" w:type="paragraph">
    <w:name w:val="Heading 4"/>
    <w:basedOn w:val="style0"/>
    <w:next w:val="style188"/>
    <w:pPr>
      <w:keepNext/>
      <w:numPr>
        <w:ilvl w:val="3"/>
        <w:numId w:val="1"/>
      </w:numPr>
      <w:spacing w:after="60" w:before="240"/>
      <w:jc w:val="both"/>
      <w:outlineLvl w:val="3"/>
    </w:pPr>
    <w:rPr>
      <w:rFonts w:ascii="Calibri" w:cs="Calibri" w:hAnsi="Calibri"/>
      <w:b/>
    </w:rPr>
  </w:style>
  <w:style w:styleId="style5" w:type="paragraph">
    <w:name w:val="Heading 5"/>
    <w:basedOn w:val="style0"/>
    <w:next w:val="style188"/>
    <w:pPr>
      <w:numPr>
        <w:ilvl w:val="4"/>
        <w:numId w:val="1"/>
      </w:numPr>
      <w:spacing w:after="60" w:before="240"/>
      <w:outlineLvl w:val="4"/>
    </w:pPr>
    <w:rPr>
      <w:b/>
      <w:bCs/>
      <w:i/>
      <w:iCs/>
      <w:sz w:val="26"/>
      <w:szCs w:val="26"/>
    </w:rPr>
  </w:style>
  <w:style w:styleId="style6" w:type="paragraph">
    <w:name w:val="Heading 6"/>
    <w:basedOn w:val="style0"/>
    <w:next w:val="style188"/>
    <w:pPr>
      <w:numPr>
        <w:ilvl w:val="5"/>
        <w:numId w:val="1"/>
      </w:numPr>
      <w:spacing w:after="60" w:before="240"/>
      <w:outlineLvl w:val="5"/>
    </w:pPr>
    <w:rPr>
      <w:rFonts w:ascii="Calibri" w:cs="Calibri" w:hAnsi="Calibri"/>
      <w:b/>
      <w:bCs/>
      <w:sz w:val="22"/>
      <w:szCs w:val="22"/>
    </w:rPr>
  </w:style>
  <w:style w:styleId="style7" w:type="paragraph">
    <w:name w:val="Heading 7"/>
    <w:basedOn w:val="style0"/>
    <w:next w:val="style188"/>
    <w:pPr>
      <w:numPr>
        <w:ilvl w:val="6"/>
        <w:numId w:val="1"/>
      </w:numPr>
      <w:spacing w:after="60" w:before="240"/>
      <w:outlineLvl w:val="6"/>
    </w:pPr>
    <w:rPr>
      <w:rFonts w:ascii="Calibri" w:cs="Calibri" w:hAnsi="Calibri"/>
    </w:rPr>
  </w:style>
  <w:style w:styleId="style8" w:type="paragraph">
    <w:name w:val="Heading 8"/>
    <w:basedOn w:val="style0"/>
    <w:next w:val="style188"/>
    <w:pPr>
      <w:numPr>
        <w:ilvl w:val="7"/>
        <w:numId w:val="1"/>
      </w:numPr>
      <w:spacing w:after="60" w:before="240"/>
      <w:outlineLvl w:val="7"/>
    </w:pPr>
    <w:rPr>
      <w:rFonts w:ascii="Calibri" w:cs="Calibri" w:hAnsi="Calibri"/>
      <w:i/>
      <w:iCs/>
    </w:rPr>
  </w:style>
  <w:style w:styleId="style9" w:type="paragraph">
    <w:name w:val="Heading 9"/>
    <w:basedOn w:val="style0"/>
    <w:next w:val="style188"/>
    <w:pPr>
      <w:numPr>
        <w:ilvl w:val="8"/>
        <w:numId w:val="1"/>
      </w:numPr>
      <w:spacing w:after="60" w:before="240"/>
      <w:outlineLvl w:val="8"/>
    </w:pPr>
    <w:rPr>
      <w:rFonts w:ascii="Cambria" w:cs="Cambria" w:hAnsi="Cambri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WW8Num2z0"/>
    <w:next w:val="style16"/>
    <w:rPr>
      <w:rFonts w:ascii="Times New Roman" w:cs="Times New Roman" w:eastAsia="Times New Roman" w:hAnsi="Times New Roman"/>
    </w:rPr>
  </w:style>
  <w:style w:styleId="style17" w:type="character">
    <w:name w:val="WW8Num3z0"/>
    <w:next w:val="style17"/>
    <w:rPr>
      <w:rFonts w:ascii="Times New Roman" w:cs="Times New Roman" w:eastAsia="Times New Roman" w:hAnsi="Times New Roman"/>
    </w:rPr>
  </w:style>
  <w:style w:styleId="style18" w:type="character">
    <w:name w:val="WW8Num4z0"/>
    <w:next w:val="style18"/>
    <w:rPr>
      <w:rFonts w:ascii="Times New Roman" w:cs="Times New Roman" w:eastAsia="Times New Roman" w:hAnsi="Times New Roman"/>
      <w:b w:val="false"/>
    </w:rPr>
  </w:style>
  <w:style w:styleId="style19" w:type="character">
    <w:name w:val="WW8Num5z0"/>
    <w:next w:val="style19"/>
    <w:rPr>
      <w:rFonts w:ascii="Times New Roman" w:cs="Times New Roman" w:eastAsia="Times New Roman" w:hAnsi="Times New Roman"/>
    </w:rPr>
  </w:style>
  <w:style w:styleId="style20" w:type="character">
    <w:name w:val="WW8Num6z0"/>
    <w:next w:val="style20"/>
    <w:rPr>
      <w:rFonts w:ascii="Times New Roman" w:cs="Times New Roman" w:hAnsi="Times New Roman"/>
    </w:rPr>
  </w:style>
  <w:style w:styleId="style21" w:type="character">
    <w:name w:val="WW8Num6z1"/>
    <w:next w:val="style21"/>
    <w:rPr>
      <w:rFonts w:ascii="Courier New" w:cs="Courier New" w:hAnsi="Courier New"/>
    </w:rPr>
  </w:style>
  <w:style w:styleId="style22" w:type="character">
    <w:name w:val="WW8Num6z2"/>
    <w:next w:val="style22"/>
    <w:rPr>
      <w:rFonts w:ascii="Wingdings" w:cs="Wingdings" w:hAnsi="Wingdings"/>
    </w:rPr>
  </w:style>
  <w:style w:styleId="style23" w:type="character">
    <w:name w:val="WW8Num6z3"/>
    <w:next w:val="style23"/>
    <w:rPr>
      <w:rFonts w:ascii="Symbol" w:cs="Symbol" w:hAnsi="Symbol"/>
    </w:rPr>
  </w:style>
  <w:style w:styleId="style24" w:type="character">
    <w:name w:val="WW8Num7z0"/>
    <w:next w:val="style24"/>
    <w:rPr>
      <w:b/>
    </w:rPr>
  </w:style>
  <w:style w:styleId="style25" w:type="character">
    <w:name w:val="Absatz-Standardschriftart"/>
    <w:next w:val="style25"/>
    <w:rPr/>
  </w:style>
  <w:style w:styleId="style26" w:type="character">
    <w:name w:val="WW-Absatz-Standardschriftart"/>
    <w:next w:val="style26"/>
    <w:rPr/>
  </w:style>
  <w:style w:styleId="style27" w:type="character">
    <w:name w:val="WW-Absatz-Standardschriftart1"/>
    <w:next w:val="style27"/>
    <w:rPr/>
  </w:style>
  <w:style w:styleId="style28" w:type="character">
    <w:name w:val="WW-Default Paragraph Font"/>
    <w:next w:val="style28"/>
    <w:rPr/>
  </w:style>
  <w:style w:styleId="style29" w:type="character">
    <w:name w:val="WW-Absatz-Standardschriftart11"/>
    <w:next w:val="style29"/>
    <w:rPr/>
  </w:style>
  <w:style w:styleId="style30" w:type="character">
    <w:name w:val="WW-Absatz-Standardschriftart111"/>
    <w:next w:val="style30"/>
    <w:rPr/>
  </w:style>
  <w:style w:styleId="style31" w:type="character">
    <w:name w:val="WW-Absatz-Standardschriftart1111"/>
    <w:next w:val="style31"/>
    <w:rPr/>
  </w:style>
  <w:style w:styleId="style32" w:type="character">
    <w:name w:val="WW-Absatz-Standardschriftart11111"/>
    <w:next w:val="style32"/>
    <w:rPr/>
  </w:style>
  <w:style w:styleId="style33" w:type="character">
    <w:name w:val="WW-Absatz-Standardschriftart111111"/>
    <w:next w:val="style33"/>
    <w:rPr/>
  </w:style>
  <w:style w:styleId="style34" w:type="character">
    <w:name w:val="WW-Absatz-Standardschriftart1111111"/>
    <w:next w:val="style34"/>
    <w:rPr/>
  </w:style>
  <w:style w:styleId="style35" w:type="character">
    <w:name w:val="WW-Absatz-Standardschriftart11111111"/>
    <w:next w:val="style35"/>
    <w:rPr/>
  </w:style>
  <w:style w:styleId="style36" w:type="character">
    <w:name w:val="WW8Num7z1"/>
    <w:next w:val="style36"/>
    <w:rPr>
      <w:rFonts w:ascii="Courier New" w:cs="Courier New" w:hAnsi="Courier New"/>
    </w:rPr>
  </w:style>
  <w:style w:styleId="style37" w:type="character">
    <w:name w:val="WW8Num7z2"/>
    <w:next w:val="style37"/>
    <w:rPr>
      <w:rFonts w:ascii="Wingdings" w:cs="Wingdings" w:hAnsi="Wingdings"/>
    </w:rPr>
  </w:style>
  <w:style w:styleId="style38" w:type="character">
    <w:name w:val="WW8Num7z3"/>
    <w:next w:val="style38"/>
    <w:rPr>
      <w:rFonts w:ascii="Symbol" w:cs="Symbol" w:hAnsi="Symbol"/>
    </w:rPr>
  </w:style>
  <w:style w:styleId="style39" w:type="character">
    <w:name w:val="WW8Num8z0"/>
    <w:next w:val="style39"/>
    <w:rPr>
      <w:rFonts w:ascii="Wingdings" w:cs="Wingdings" w:hAnsi="Wingdings"/>
    </w:rPr>
  </w:style>
  <w:style w:styleId="style40" w:type="character">
    <w:name w:val="WW8Num9z0"/>
    <w:next w:val="style40"/>
    <w:rPr>
      <w:rFonts w:ascii="Times New Roman" w:cs="Times New Roman" w:eastAsia="Times New Roman" w:hAnsi="Times New Roman"/>
    </w:rPr>
  </w:style>
  <w:style w:styleId="style41" w:type="character">
    <w:name w:val="WW8Num10z0"/>
    <w:next w:val="style41"/>
    <w:rPr>
      <w:rFonts w:ascii="Times New Roman" w:cs="Times New Roman" w:eastAsia="Times New Roman" w:hAnsi="Times New Roman"/>
    </w:rPr>
  </w:style>
  <w:style w:styleId="style42" w:type="character">
    <w:name w:val="WW8Num10z1"/>
    <w:next w:val="style42"/>
    <w:rPr>
      <w:rFonts w:ascii="Courier New" w:cs="Courier New" w:hAnsi="Courier New"/>
    </w:rPr>
  </w:style>
  <w:style w:styleId="style43" w:type="character">
    <w:name w:val="WW8Num10z2"/>
    <w:next w:val="style43"/>
    <w:rPr>
      <w:rFonts w:ascii="Wingdings" w:cs="Wingdings" w:hAnsi="Wingdings"/>
    </w:rPr>
  </w:style>
  <w:style w:styleId="style44" w:type="character">
    <w:name w:val="WW8Num10z3"/>
    <w:next w:val="style44"/>
    <w:rPr>
      <w:rFonts w:ascii="Symbol" w:cs="Symbol" w:hAnsi="Symbol"/>
    </w:rPr>
  </w:style>
  <w:style w:styleId="style45" w:type="character">
    <w:name w:val="WW8Num11z0"/>
    <w:next w:val="style45"/>
    <w:rPr>
      <w:b/>
      <w:u w:val="none"/>
    </w:rPr>
  </w:style>
  <w:style w:styleId="style46" w:type="character">
    <w:name w:val="WW8Num11z1"/>
    <w:next w:val="style46"/>
    <w:rPr>
      <w:rFonts w:ascii="Courier New" w:cs="Courier New" w:hAnsi="Courier New"/>
    </w:rPr>
  </w:style>
  <w:style w:styleId="style47" w:type="character">
    <w:name w:val="WW8Num11z2"/>
    <w:next w:val="style47"/>
    <w:rPr>
      <w:rFonts w:ascii="Wingdings" w:cs="Wingdings" w:hAnsi="Wingdings"/>
    </w:rPr>
  </w:style>
  <w:style w:styleId="style48" w:type="character">
    <w:name w:val="WW8Num12z0"/>
    <w:next w:val="style48"/>
    <w:rPr>
      <w:rFonts w:ascii="Times New Roman" w:cs="Times New Roman" w:eastAsia="Times New Roman" w:hAnsi="Times New Roman"/>
    </w:rPr>
  </w:style>
  <w:style w:styleId="style49" w:type="character">
    <w:name w:val="WW8Num12z1"/>
    <w:next w:val="style49"/>
    <w:rPr>
      <w:rFonts w:ascii="Courier New" w:cs="Courier New" w:hAnsi="Courier New"/>
    </w:rPr>
  </w:style>
  <w:style w:styleId="style50" w:type="character">
    <w:name w:val="WW8Num12z2"/>
    <w:next w:val="style50"/>
    <w:rPr>
      <w:rFonts w:ascii="Wingdings" w:cs="Wingdings" w:hAnsi="Wingdings"/>
    </w:rPr>
  </w:style>
  <w:style w:styleId="style51" w:type="character">
    <w:name w:val="WW8Num12z3"/>
    <w:next w:val="style51"/>
    <w:rPr>
      <w:rFonts w:ascii="Symbol" w:cs="Symbol" w:hAnsi="Symbol"/>
    </w:rPr>
  </w:style>
  <w:style w:styleId="style52" w:type="character">
    <w:name w:val="WW8Num13z0"/>
    <w:next w:val="style52"/>
    <w:rPr>
      <w:rFonts w:ascii="Times New Roman" w:cs="Times New Roman" w:eastAsia="Times New Roman" w:hAnsi="Times New Roman"/>
    </w:rPr>
  </w:style>
  <w:style w:styleId="style53" w:type="character">
    <w:name w:val="WW8Num13z1"/>
    <w:next w:val="style53"/>
    <w:rPr>
      <w:rFonts w:ascii="Courier New" w:cs="Symbol" w:hAnsi="Courier New"/>
    </w:rPr>
  </w:style>
  <w:style w:styleId="style54" w:type="character">
    <w:name w:val="WW8Num13z2"/>
    <w:next w:val="style54"/>
    <w:rPr>
      <w:rFonts w:ascii="Wingdings" w:cs="Wingdings" w:hAnsi="Wingdings"/>
    </w:rPr>
  </w:style>
  <w:style w:styleId="style55" w:type="character">
    <w:name w:val="WW8Num13z3"/>
    <w:next w:val="style55"/>
    <w:rPr>
      <w:rFonts w:ascii="Symbol" w:cs="Symbol" w:hAnsi="Symbol"/>
    </w:rPr>
  </w:style>
  <w:style w:styleId="style56" w:type="character">
    <w:name w:val="WW8Num14z0"/>
    <w:next w:val="style56"/>
    <w:rPr>
      <w:rFonts w:ascii="Times New Roman" w:cs="Times New Roman" w:eastAsia="Times New Roman" w:hAnsi="Times New Roman"/>
    </w:rPr>
  </w:style>
  <w:style w:styleId="style57" w:type="character">
    <w:name w:val="WW8Num14z1"/>
    <w:next w:val="style57"/>
    <w:rPr>
      <w:rFonts w:ascii="Courier New" w:cs="Courier New" w:hAnsi="Courier New"/>
    </w:rPr>
  </w:style>
  <w:style w:styleId="style58" w:type="character">
    <w:name w:val="WW8Num14z2"/>
    <w:next w:val="style58"/>
    <w:rPr>
      <w:rFonts w:ascii="Wingdings" w:cs="Wingdings" w:hAnsi="Wingdings"/>
    </w:rPr>
  </w:style>
  <w:style w:styleId="style59" w:type="character">
    <w:name w:val="WW8Num16z0"/>
    <w:next w:val="style59"/>
    <w:rPr>
      <w:rFonts w:ascii="Times New Roman" w:cs="Times New Roman" w:eastAsia="Times New Roman" w:hAnsi="Times New Roman"/>
    </w:rPr>
  </w:style>
  <w:style w:styleId="style60" w:type="character">
    <w:name w:val="WW8Num16z1"/>
    <w:next w:val="style60"/>
    <w:rPr>
      <w:rFonts w:ascii="Courier New" w:cs="Courier New" w:hAnsi="Courier New"/>
    </w:rPr>
  </w:style>
  <w:style w:styleId="style61" w:type="character">
    <w:name w:val="WW8Num16z2"/>
    <w:next w:val="style61"/>
    <w:rPr>
      <w:rFonts w:ascii="Wingdings" w:cs="Wingdings" w:hAnsi="Wingdings"/>
    </w:rPr>
  </w:style>
  <w:style w:styleId="style62" w:type="character">
    <w:name w:val="WW8Num16z3"/>
    <w:next w:val="style62"/>
    <w:rPr>
      <w:rFonts w:ascii="Symbol" w:cs="Symbol" w:hAnsi="Symbol"/>
    </w:rPr>
  </w:style>
  <w:style w:styleId="style63" w:type="character">
    <w:name w:val="WW8Num17z0"/>
    <w:next w:val="style63"/>
    <w:rPr>
      <w:rFonts w:ascii="Times New Roman" w:cs="Times New Roman" w:hAnsi="Times New Roman"/>
    </w:rPr>
  </w:style>
  <w:style w:styleId="style64" w:type="character">
    <w:name w:val="WW8Num17z1"/>
    <w:next w:val="style64"/>
    <w:rPr>
      <w:rFonts w:ascii="Courier New" w:cs="Courier New" w:hAnsi="Courier New"/>
    </w:rPr>
  </w:style>
  <w:style w:styleId="style65" w:type="character">
    <w:name w:val="WW8Num17z2"/>
    <w:next w:val="style65"/>
    <w:rPr>
      <w:rFonts w:ascii="Wingdings" w:cs="Wingdings" w:hAnsi="Wingdings"/>
    </w:rPr>
  </w:style>
  <w:style w:styleId="style66" w:type="character">
    <w:name w:val="WW8Num17z3"/>
    <w:next w:val="style66"/>
    <w:rPr>
      <w:rFonts w:ascii="Symbol" w:cs="Symbol" w:hAnsi="Symbol"/>
    </w:rPr>
  </w:style>
  <w:style w:styleId="style67" w:type="character">
    <w:name w:val="WW8Num18z0"/>
    <w:next w:val="style67"/>
    <w:rPr>
      <w:b/>
      <w:u w:val="none"/>
    </w:rPr>
  </w:style>
  <w:style w:styleId="style68" w:type="character">
    <w:name w:val="WW8Num19z0"/>
    <w:next w:val="style68"/>
    <w:rPr>
      <w:rFonts w:ascii="Times New Roman" w:cs="Times New Roman" w:eastAsia="Times New Roman" w:hAnsi="Times New Roman"/>
    </w:rPr>
  </w:style>
  <w:style w:styleId="style69" w:type="character">
    <w:name w:val="WW8Num19z1"/>
    <w:next w:val="style69"/>
    <w:rPr>
      <w:rFonts w:ascii="Courier New" w:cs="Courier New" w:hAnsi="Courier New"/>
    </w:rPr>
  </w:style>
  <w:style w:styleId="style70" w:type="character">
    <w:name w:val="WW8Num19z2"/>
    <w:next w:val="style70"/>
    <w:rPr>
      <w:rFonts w:ascii="Wingdings" w:cs="Wingdings" w:hAnsi="Wingdings"/>
    </w:rPr>
  </w:style>
  <w:style w:styleId="style71" w:type="character">
    <w:name w:val="WW8Num19z3"/>
    <w:next w:val="style71"/>
    <w:rPr>
      <w:rFonts w:ascii="Symbol" w:cs="Symbol" w:hAnsi="Symbol"/>
    </w:rPr>
  </w:style>
  <w:style w:styleId="style72" w:type="character">
    <w:name w:val="WW8Num21z0"/>
    <w:next w:val="style72"/>
    <w:rPr>
      <w:rFonts w:ascii="Times New Roman" w:cs="Times New Roman" w:eastAsia="Times New Roman" w:hAnsi="Times New Roman"/>
    </w:rPr>
  </w:style>
  <w:style w:styleId="style73" w:type="character">
    <w:name w:val="WW8Num21z1"/>
    <w:next w:val="style73"/>
    <w:rPr>
      <w:rFonts w:ascii="Courier New" w:cs="Courier New" w:hAnsi="Courier New"/>
    </w:rPr>
  </w:style>
  <w:style w:styleId="style74" w:type="character">
    <w:name w:val="WW8Num21z2"/>
    <w:next w:val="style74"/>
    <w:rPr>
      <w:rFonts w:ascii="Wingdings" w:cs="Wingdings" w:hAnsi="Wingdings"/>
    </w:rPr>
  </w:style>
  <w:style w:styleId="style75" w:type="character">
    <w:name w:val="WW8Num21z3"/>
    <w:next w:val="style75"/>
    <w:rPr>
      <w:rFonts w:ascii="Symbol" w:cs="Symbol" w:hAnsi="Symbol"/>
    </w:rPr>
  </w:style>
  <w:style w:styleId="style76" w:type="character">
    <w:name w:val="WW8Num22z0"/>
    <w:next w:val="style76"/>
    <w:rPr>
      <w:rFonts w:ascii="Symbol" w:cs="Symbol" w:hAnsi="Symbol"/>
    </w:rPr>
  </w:style>
  <w:style w:styleId="style77" w:type="character">
    <w:name w:val="WW8Num22z1"/>
    <w:next w:val="style77"/>
    <w:rPr>
      <w:rFonts w:ascii="Courier New" w:cs="Courier New" w:hAnsi="Courier New"/>
    </w:rPr>
  </w:style>
  <w:style w:styleId="style78" w:type="character">
    <w:name w:val="WW8Num22z2"/>
    <w:next w:val="style78"/>
    <w:rPr>
      <w:rFonts w:ascii="Wingdings" w:cs="Wingdings" w:hAnsi="Wingdings"/>
    </w:rPr>
  </w:style>
  <w:style w:styleId="style79" w:type="character">
    <w:name w:val="WW8Num23z0"/>
    <w:next w:val="style79"/>
    <w:rPr>
      <w:rFonts w:ascii="Times New Roman" w:cs="Times New Roman" w:hAnsi="Times New Roman"/>
    </w:rPr>
  </w:style>
  <w:style w:styleId="style80" w:type="character">
    <w:name w:val="WW8Num23z1"/>
    <w:next w:val="style80"/>
    <w:rPr>
      <w:rFonts w:ascii="Courier New" w:cs="Courier New" w:hAnsi="Courier New"/>
    </w:rPr>
  </w:style>
  <w:style w:styleId="style81" w:type="character">
    <w:name w:val="WW8Num23z2"/>
    <w:next w:val="style81"/>
    <w:rPr>
      <w:rFonts w:ascii="Wingdings" w:cs="Wingdings" w:hAnsi="Wingdings"/>
    </w:rPr>
  </w:style>
  <w:style w:styleId="style82" w:type="character">
    <w:name w:val="WW8Num23z3"/>
    <w:next w:val="style82"/>
    <w:rPr>
      <w:rFonts w:ascii="Symbol" w:cs="Symbol" w:hAnsi="Symbol"/>
    </w:rPr>
  </w:style>
  <w:style w:styleId="style83" w:type="character">
    <w:name w:val="WW8Num24z0"/>
    <w:next w:val="style83"/>
    <w:rPr>
      <w:rFonts w:ascii="Times New Roman" w:cs="Times New Roman" w:hAnsi="Times New Roman"/>
    </w:rPr>
  </w:style>
  <w:style w:styleId="style84" w:type="character">
    <w:name w:val="WW8Num24z1"/>
    <w:next w:val="style84"/>
    <w:rPr>
      <w:rFonts w:ascii="Courier New" w:cs="Courier New" w:hAnsi="Courier New"/>
    </w:rPr>
  </w:style>
  <w:style w:styleId="style85" w:type="character">
    <w:name w:val="WW8Num24z2"/>
    <w:next w:val="style85"/>
    <w:rPr>
      <w:rFonts w:ascii="Wingdings" w:cs="Wingdings" w:hAnsi="Wingdings"/>
    </w:rPr>
  </w:style>
  <w:style w:styleId="style86" w:type="character">
    <w:name w:val="WW8Num24z3"/>
    <w:next w:val="style86"/>
    <w:rPr>
      <w:rFonts w:ascii="Symbol" w:cs="Symbol" w:hAnsi="Symbol"/>
    </w:rPr>
  </w:style>
  <w:style w:styleId="style87" w:type="character">
    <w:name w:val="WW8Num25z0"/>
    <w:next w:val="style87"/>
    <w:rPr>
      <w:rFonts w:ascii="Calibri" w:cs="Calibri" w:eastAsia="Calibri" w:hAnsi="Calibri"/>
    </w:rPr>
  </w:style>
  <w:style w:styleId="style88" w:type="character">
    <w:name w:val="WW8Num25z1"/>
    <w:next w:val="style88"/>
    <w:rPr>
      <w:rFonts w:ascii="Courier New" w:cs="Courier New" w:hAnsi="Courier New"/>
    </w:rPr>
  </w:style>
  <w:style w:styleId="style89" w:type="character">
    <w:name w:val="WW8Num25z2"/>
    <w:next w:val="style89"/>
    <w:rPr>
      <w:rFonts w:ascii="Wingdings" w:cs="Wingdings" w:hAnsi="Wingdings"/>
    </w:rPr>
  </w:style>
  <w:style w:styleId="style90" w:type="character">
    <w:name w:val="WW8Num25z3"/>
    <w:next w:val="style90"/>
    <w:rPr>
      <w:rFonts w:ascii="Symbol" w:cs="Symbol" w:hAnsi="Symbol"/>
    </w:rPr>
  </w:style>
  <w:style w:styleId="style91" w:type="character">
    <w:name w:val="WW-Default Paragraph Font1"/>
    <w:next w:val="style91"/>
    <w:rPr/>
  </w:style>
  <w:style w:styleId="style92" w:type="character">
    <w:name w:val="WW8Num1z0"/>
    <w:next w:val="style92"/>
    <w:rPr>
      <w:rFonts w:ascii="Times New Roman" w:cs="Times New Roman" w:eastAsia="Times New Roman" w:hAnsi="Times New Roman"/>
    </w:rPr>
  </w:style>
  <w:style w:styleId="style93" w:type="character">
    <w:name w:val="WW8Num1z1"/>
    <w:next w:val="style93"/>
    <w:rPr>
      <w:rFonts w:ascii="Courier New" w:cs="Courier New" w:hAnsi="Courier New"/>
    </w:rPr>
  </w:style>
  <w:style w:styleId="style94" w:type="character">
    <w:name w:val="WW8Num1z2"/>
    <w:next w:val="style94"/>
    <w:rPr>
      <w:rFonts w:ascii="Wingdings" w:cs="Wingdings" w:hAnsi="Wingdings"/>
    </w:rPr>
  </w:style>
  <w:style w:styleId="style95" w:type="character">
    <w:name w:val="WW8Num1z3"/>
    <w:next w:val="style95"/>
    <w:rPr>
      <w:rFonts w:ascii="Symbol" w:cs="Symbol" w:hAnsi="Symbol"/>
    </w:rPr>
  </w:style>
  <w:style w:styleId="style96" w:type="character">
    <w:name w:val="WW8Num2z1"/>
    <w:next w:val="style96"/>
    <w:rPr>
      <w:rFonts w:ascii="Courier New" w:cs="Symbol" w:hAnsi="Courier New"/>
    </w:rPr>
  </w:style>
  <w:style w:styleId="style97" w:type="character">
    <w:name w:val="WW8Num2z2"/>
    <w:next w:val="style97"/>
    <w:rPr>
      <w:rFonts w:ascii="Wingdings" w:cs="Wingdings" w:hAnsi="Wingdings"/>
    </w:rPr>
  </w:style>
  <w:style w:styleId="style98" w:type="character">
    <w:name w:val="WW8Num2z3"/>
    <w:next w:val="style98"/>
    <w:rPr>
      <w:rFonts w:ascii="Symbol" w:cs="Symbol" w:hAnsi="Symbol"/>
    </w:rPr>
  </w:style>
  <w:style w:styleId="style99" w:type="character">
    <w:name w:val="WW8Num3z1"/>
    <w:next w:val="style99"/>
    <w:rPr>
      <w:rFonts w:ascii="Courier New" w:cs="Courier New" w:hAnsi="Courier New"/>
    </w:rPr>
  </w:style>
  <w:style w:styleId="style100" w:type="character">
    <w:name w:val="WW8Num3z2"/>
    <w:next w:val="style100"/>
    <w:rPr>
      <w:rFonts w:ascii="Wingdings" w:cs="Wingdings" w:hAnsi="Wingdings"/>
    </w:rPr>
  </w:style>
  <w:style w:styleId="style101" w:type="character">
    <w:name w:val="WW8Num3z3"/>
    <w:next w:val="style101"/>
    <w:rPr>
      <w:rFonts w:ascii="Symbol" w:cs="Symbol" w:hAnsi="Symbol"/>
    </w:rPr>
  </w:style>
  <w:style w:styleId="style102" w:type="character">
    <w:name w:val="WW8Num4z1"/>
    <w:next w:val="style102"/>
    <w:rPr>
      <w:rFonts w:ascii="Courier New" w:cs="Courier New" w:hAnsi="Courier New"/>
    </w:rPr>
  </w:style>
  <w:style w:styleId="style103" w:type="character">
    <w:name w:val="WW8Num4z2"/>
    <w:next w:val="style103"/>
    <w:rPr>
      <w:rFonts w:ascii="Wingdings" w:cs="Wingdings" w:hAnsi="Wingdings"/>
    </w:rPr>
  </w:style>
  <w:style w:styleId="style104" w:type="character">
    <w:name w:val="WW8Num4z3"/>
    <w:next w:val="style104"/>
    <w:rPr>
      <w:rFonts w:ascii="Symbol" w:cs="Symbol" w:hAnsi="Symbol"/>
    </w:rPr>
  </w:style>
  <w:style w:styleId="style105" w:type="character">
    <w:name w:val="WW8Num5z1"/>
    <w:next w:val="style105"/>
    <w:rPr>
      <w:rFonts w:ascii="Courier New" w:cs="Symbol" w:hAnsi="Courier New"/>
    </w:rPr>
  </w:style>
  <w:style w:styleId="style106" w:type="character">
    <w:name w:val="WW8Num5z2"/>
    <w:next w:val="style106"/>
    <w:rPr>
      <w:rFonts w:ascii="Wingdings" w:cs="Wingdings" w:hAnsi="Wingdings"/>
    </w:rPr>
  </w:style>
  <w:style w:styleId="style107" w:type="character">
    <w:name w:val="WW8Num5z3"/>
    <w:next w:val="style107"/>
    <w:rPr>
      <w:rFonts w:ascii="Symbol" w:cs="Symbol" w:hAnsi="Symbol"/>
    </w:rPr>
  </w:style>
  <w:style w:styleId="style108" w:type="character">
    <w:name w:val="WW8Num8z1"/>
    <w:next w:val="style108"/>
    <w:rPr>
      <w:rFonts w:ascii="Courier New" w:cs="Courier New" w:hAnsi="Courier New"/>
    </w:rPr>
  </w:style>
  <w:style w:styleId="style109" w:type="character">
    <w:name w:val="WW8Num8z3"/>
    <w:next w:val="style109"/>
    <w:rPr>
      <w:rFonts w:ascii="Symbol" w:cs="Symbol" w:hAnsi="Symbol"/>
    </w:rPr>
  </w:style>
  <w:style w:styleId="style110" w:type="character">
    <w:name w:val="WW8Num9z1"/>
    <w:next w:val="style110"/>
    <w:rPr>
      <w:rFonts w:ascii="Courier New" w:cs="Symbol" w:hAnsi="Courier New"/>
    </w:rPr>
  </w:style>
  <w:style w:styleId="style111" w:type="character">
    <w:name w:val="WW8Num9z2"/>
    <w:next w:val="style111"/>
    <w:rPr>
      <w:rFonts w:ascii="Wingdings" w:cs="Wingdings" w:hAnsi="Wingdings"/>
    </w:rPr>
  </w:style>
  <w:style w:styleId="style112" w:type="character">
    <w:name w:val="WW8Num9z3"/>
    <w:next w:val="style112"/>
    <w:rPr>
      <w:rFonts w:ascii="Symbol" w:cs="Symbol" w:hAnsi="Symbol"/>
    </w:rPr>
  </w:style>
  <w:style w:styleId="style113" w:type="character">
    <w:name w:val="WW8Num14z3"/>
    <w:next w:val="style113"/>
    <w:rPr>
      <w:rFonts w:ascii="Symbol" w:cs="Symbol" w:hAnsi="Symbol"/>
    </w:rPr>
  </w:style>
  <w:style w:styleId="style114" w:type="character">
    <w:name w:val="WW8Num15z0"/>
    <w:next w:val="style114"/>
    <w:rPr>
      <w:rFonts w:ascii="Wingdings" w:cs="Wingdings" w:hAnsi="Wingdings"/>
    </w:rPr>
  </w:style>
  <w:style w:styleId="style115" w:type="character">
    <w:name w:val="WW8Num15z1"/>
    <w:next w:val="style115"/>
    <w:rPr>
      <w:rFonts w:ascii="Courier New" w:cs="Courier New" w:hAnsi="Courier New"/>
    </w:rPr>
  </w:style>
  <w:style w:styleId="style116" w:type="character">
    <w:name w:val="WW8Num15z3"/>
    <w:next w:val="style116"/>
    <w:rPr>
      <w:rFonts w:ascii="Symbol" w:cs="Symbol" w:hAnsi="Symbol"/>
    </w:rPr>
  </w:style>
  <w:style w:styleId="style117" w:type="character">
    <w:name w:val="Heading 1 Char"/>
    <w:next w:val="style117"/>
    <w:rPr>
      <w:rFonts w:cs="Arial"/>
      <w:b/>
      <w:bCs/>
      <w:sz w:val="32"/>
      <w:szCs w:val="32"/>
    </w:rPr>
  </w:style>
  <w:style w:styleId="style118" w:type="character">
    <w:name w:val="page number"/>
    <w:basedOn w:val="style91"/>
    <w:next w:val="style118"/>
    <w:rPr/>
  </w:style>
  <w:style w:styleId="style119" w:type="character">
    <w:name w:val="Internet Link"/>
    <w:next w:val="style119"/>
    <w:rPr>
      <w:color w:val="0000FF"/>
      <w:u w:val="single"/>
      <w:lang w:bidi="en-US" w:eastAsia="en-US" w:val="en-US"/>
    </w:rPr>
  </w:style>
  <w:style w:styleId="style120" w:type="character">
    <w:name w:val="Heading 2 Char"/>
    <w:next w:val="style120"/>
    <w:rPr>
      <w:rFonts w:cs="Arial"/>
      <w:b/>
      <w:bCs/>
      <w:i/>
      <w:iCs/>
      <w:sz w:val="28"/>
      <w:szCs w:val="28"/>
    </w:rPr>
  </w:style>
  <w:style w:styleId="style121" w:type="character">
    <w:name w:val="Strong Emphasis"/>
    <w:next w:val="style121"/>
    <w:rPr>
      <w:b/>
      <w:bCs/>
    </w:rPr>
  </w:style>
  <w:style w:styleId="style122" w:type="character">
    <w:name w:val="Balloon Text Char"/>
    <w:next w:val="style122"/>
    <w:rPr>
      <w:rFonts w:ascii="Tahoma" w:cs="Tahoma" w:hAnsi="Tahoma"/>
      <w:sz w:val="16"/>
      <w:szCs w:val="16"/>
    </w:rPr>
  </w:style>
  <w:style w:styleId="style123" w:type="character">
    <w:name w:val="Emphasis"/>
    <w:next w:val="style123"/>
    <w:rPr>
      <w:i/>
      <w:iCs/>
    </w:rPr>
  </w:style>
  <w:style w:styleId="style124" w:type="character">
    <w:name w:val="Title Char"/>
    <w:next w:val="style124"/>
    <w:rPr>
      <w:rFonts w:ascii="Cambria" w:cs="Cambria" w:hAnsi="Cambria"/>
      <w:b/>
      <w:bCs/>
      <w:i/>
      <w:sz w:val="32"/>
      <w:szCs w:val="32"/>
    </w:rPr>
  </w:style>
  <w:style w:styleId="style125" w:type="character">
    <w:name w:val="HTML Preformatted Char"/>
    <w:next w:val="style125"/>
    <w:rPr>
      <w:rFonts w:ascii="Courier New" w:cs="Courier New" w:hAnsi="Courier New"/>
    </w:rPr>
  </w:style>
  <w:style w:styleId="style126" w:type="character">
    <w:name w:val="line number"/>
    <w:basedOn w:val="style91"/>
    <w:next w:val="style126"/>
    <w:rPr/>
  </w:style>
  <w:style w:styleId="style127" w:type="character">
    <w:name w:val="Footer Char"/>
    <w:next w:val="style127"/>
    <w:rPr>
      <w:sz w:val="24"/>
      <w:szCs w:val="24"/>
    </w:rPr>
  </w:style>
  <w:style w:styleId="style128" w:type="character">
    <w:name w:val="Heading 4 Char"/>
    <w:next w:val="style128"/>
    <w:rPr>
      <w:rFonts w:ascii="Calibri" w:cs="Times New Roman" w:eastAsia="Times New Roman" w:hAnsi="Calibri"/>
      <w:b/>
      <w:bCs/>
      <w:sz w:val="28"/>
      <w:szCs w:val="28"/>
    </w:rPr>
  </w:style>
  <w:style w:styleId="style129" w:type="character">
    <w:name w:val="Heading 6 Char"/>
    <w:next w:val="style129"/>
    <w:rPr>
      <w:rFonts w:ascii="Calibri" w:cs="Times New Roman" w:eastAsia="Times New Roman" w:hAnsi="Calibri"/>
      <w:b/>
      <w:bCs/>
      <w:sz w:val="22"/>
      <w:szCs w:val="22"/>
    </w:rPr>
  </w:style>
  <w:style w:styleId="style130" w:type="character">
    <w:name w:val="Heading 7 Char"/>
    <w:next w:val="style130"/>
    <w:rPr>
      <w:rFonts w:ascii="Calibri" w:cs="Times New Roman" w:eastAsia="Times New Roman" w:hAnsi="Calibri"/>
      <w:sz w:val="24"/>
      <w:szCs w:val="24"/>
    </w:rPr>
  </w:style>
  <w:style w:styleId="style131" w:type="character">
    <w:name w:val="Heading 8 Char"/>
    <w:next w:val="style131"/>
    <w:rPr>
      <w:rFonts w:ascii="Calibri" w:cs="Times New Roman" w:eastAsia="Times New Roman" w:hAnsi="Calibri"/>
      <w:i/>
      <w:iCs/>
      <w:sz w:val="24"/>
      <w:szCs w:val="24"/>
    </w:rPr>
  </w:style>
  <w:style w:styleId="style132" w:type="character">
    <w:name w:val="Heading 9 Char"/>
    <w:next w:val="style132"/>
    <w:rPr>
      <w:rFonts w:ascii="Cambria" w:cs="Times New Roman" w:eastAsia="Times New Roman" w:hAnsi="Cambria"/>
      <w:sz w:val="22"/>
      <w:szCs w:val="22"/>
    </w:rPr>
  </w:style>
  <w:style w:styleId="style133" w:type="character">
    <w:name w:val="Bullets"/>
    <w:next w:val="style133"/>
    <w:rPr>
      <w:rFonts w:ascii="OpenSymbol" w:cs="OpenSymbol" w:eastAsia="OpenSymbol" w:hAnsi="OpenSymbol"/>
    </w:rPr>
  </w:style>
  <w:style w:styleId="style134" w:type="character">
    <w:name w:val="FollowedHyperlink"/>
    <w:basedOn w:val="style28"/>
    <w:next w:val="style134"/>
    <w:rPr>
      <w:color w:val="800080"/>
      <w:u w:val="single"/>
    </w:rPr>
  </w:style>
  <w:style w:styleId="style135" w:type="character">
    <w:name w:val="ListLabel 1"/>
    <w:next w:val="style135"/>
    <w:rPr>
      <w:rFonts w:cs="Times New Roman"/>
    </w:rPr>
  </w:style>
  <w:style w:styleId="style136" w:type="character">
    <w:name w:val="ListLabel 2"/>
    <w:next w:val="style136"/>
    <w:rPr>
      <w:rFonts w:cs="Times New Roman"/>
      <w:b w:val="false"/>
    </w:rPr>
  </w:style>
  <w:style w:styleId="style137" w:type="character">
    <w:name w:val="ListLabel 3"/>
    <w:next w:val="style137"/>
    <w:rPr>
      <w:rFonts w:cs="Courier New"/>
    </w:rPr>
  </w:style>
  <w:style w:styleId="style138" w:type="character">
    <w:name w:val="ListLabel 4"/>
    <w:next w:val="style138"/>
    <w:rPr>
      <w:rFonts w:cs="Wingdings"/>
    </w:rPr>
  </w:style>
  <w:style w:styleId="style139" w:type="character">
    <w:name w:val="ListLabel 5"/>
    <w:next w:val="style139"/>
    <w:rPr>
      <w:rFonts w:cs="Symbol"/>
    </w:rPr>
  </w:style>
  <w:style w:styleId="style140" w:type="character">
    <w:name w:val="ListLabel 6"/>
    <w:next w:val="style140"/>
    <w:rPr>
      <w:b/>
    </w:rPr>
  </w:style>
  <w:style w:styleId="style141" w:type="character">
    <w:name w:val="ListLabel 7"/>
    <w:next w:val="style141"/>
    <w:rPr>
      <w:rFonts w:cs="Wingdings"/>
    </w:rPr>
  </w:style>
  <w:style w:styleId="style142" w:type="character">
    <w:name w:val="ListLabel 8"/>
    <w:next w:val="style142"/>
    <w:rPr>
      <w:rFonts w:cs="Times New Roman"/>
    </w:rPr>
  </w:style>
  <w:style w:styleId="style143" w:type="character">
    <w:name w:val="ListLabel 9"/>
    <w:next w:val="style143"/>
    <w:rPr>
      <w:rFonts w:cs="Courier New"/>
    </w:rPr>
  </w:style>
  <w:style w:styleId="style144" w:type="character">
    <w:name w:val="ListLabel 10"/>
    <w:next w:val="style144"/>
    <w:rPr>
      <w:rFonts w:cs="Symbol"/>
    </w:rPr>
  </w:style>
  <w:style w:styleId="style145" w:type="character">
    <w:name w:val="ListLabel 11"/>
    <w:next w:val="style145"/>
    <w:rPr>
      <w:rFonts w:cs="Symbol"/>
      <w:b/>
    </w:rPr>
  </w:style>
  <w:style w:styleId="style146" w:type="character">
    <w:name w:val="ListLabel 12"/>
    <w:next w:val="style146"/>
    <w:rPr>
      <w:rFonts w:cs="Wingdings"/>
    </w:rPr>
  </w:style>
  <w:style w:styleId="style147" w:type="character">
    <w:name w:val="ListLabel 13"/>
    <w:next w:val="style147"/>
    <w:rPr>
      <w:rFonts w:cs="Times New Roman"/>
    </w:rPr>
  </w:style>
  <w:style w:styleId="style148" w:type="character">
    <w:name w:val="ListLabel 14"/>
    <w:next w:val="style148"/>
    <w:rPr>
      <w:rFonts w:cs="Courier New"/>
    </w:rPr>
  </w:style>
  <w:style w:styleId="style149" w:type="character">
    <w:name w:val="ListLabel 15"/>
    <w:next w:val="style149"/>
    <w:rPr>
      <w:rFonts w:cs="Symbol"/>
    </w:rPr>
  </w:style>
  <w:style w:styleId="style150" w:type="character">
    <w:name w:val="ListLabel 16"/>
    <w:next w:val="style150"/>
    <w:rPr>
      <w:rFonts w:cs="Symbol"/>
      <w:b/>
    </w:rPr>
  </w:style>
  <w:style w:styleId="style151" w:type="character">
    <w:name w:val="ListLabel 17"/>
    <w:next w:val="style151"/>
    <w:rPr>
      <w:rFonts w:cs="Wingdings"/>
    </w:rPr>
  </w:style>
  <w:style w:styleId="style152" w:type="character">
    <w:name w:val="ListLabel 18"/>
    <w:next w:val="style152"/>
    <w:rPr>
      <w:rFonts w:cs="Times New Roman"/>
    </w:rPr>
  </w:style>
  <w:style w:styleId="style153" w:type="character">
    <w:name w:val="ListLabel 19"/>
    <w:next w:val="style153"/>
    <w:rPr>
      <w:rFonts w:cs="Courier New"/>
    </w:rPr>
  </w:style>
  <w:style w:styleId="style154" w:type="character">
    <w:name w:val="ListLabel 20"/>
    <w:next w:val="style154"/>
    <w:rPr>
      <w:rFonts w:cs="Symbol"/>
    </w:rPr>
  </w:style>
  <w:style w:styleId="style155" w:type="character">
    <w:name w:val="ListLabel 21"/>
    <w:next w:val="style155"/>
    <w:rPr>
      <w:rFonts w:cs="Symbol"/>
      <w:b/>
    </w:rPr>
  </w:style>
  <w:style w:styleId="style156" w:type="character">
    <w:name w:val="ListLabel 22"/>
    <w:next w:val="style156"/>
    <w:rPr>
      <w:rFonts w:cs="Wingdings"/>
    </w:rPr>
  </w:style>
  <w:style w:styleId="style157" w:type="character">
    <w:name w:val="ListLabel 23"/>
    <w:next w:val="style157"/>
    <w:rPr>
      <w:rFonts w:cs="Times New Roman"/>
    </w:rPr>
  </w:style>
  <w:style w:styleId="style158" w:type="character">
    <w:name w:val="ListLabel 24"/>
    <w:next w:val="style158"/>
    <w:rPr>
      <w:rFonts w:cs="Courier New"/>
    </w:rPr>
  </w:style>
  <w:style w:styleId="style159" w:type="character">
    <w:name w:val="ListLabel 25"/>
    <w:next w:val="style159"/>
    <w:rPr>
      <w:rFonts w:cs="Symbol"/>
    </w:rPr>
  </w:style>
  <w:style w:styleId="style160" w:type="character">
    <w:name w:val="ListLabel 26"/>
    <w:next w:val="style160"/>
    <w:rPr>
      <w:rFonts w:cs="Symbol"/>
      <w:b/>
    </w:rPr>
  </w:style>
  <w:style w:styleId="style161" w:type="character">
    <w:name w:val="ListLabel 27"/>
    <w:next w:val="style161"/>
    <w:rPr>
      <w:rFonts w:cs="Wingdings"/>
    </w:rPr>
  </w:style>
  <w:style w:styleId="style162" w:type="character">
    <w:name w:val="ListLabel 28"/>
    <w:next w:val="style162"/>
    <w:rPr>
      <w:rFonts w:cs="Times New Roman"/>
    </w:rPr>
  </w:style>
  <w:style w:styleId="style163" w:type="character">
    <w:name w:val="ListLabel 29"/>
    <w:next w:val="style163"/>
    <w:rPr>
      <w:rFonts w:cs="Courier New"/>
    </w:rPr>
  </w:style>
  <w:style w:styleId="style164" w:type="character">
    <w:name w:val="ListLabel 30"/>
    <w:next w:val="style164"/>
    <w:rPr>
      <w:rFonts w:cs="Symbol"/>
    </w:rPr>
  </w:style>
  <w:style w:styleId="style165" w:type="character">
    <w:name w:val="ListLabel 31"/>
    <w:next w:val="style165"/>
    <w:rPr>
      <w:rFonts w:cs="Symbol"/>
      <w:b/>
    </w:rPr>
  </w:style>
  <w:style w:styleId="style166" w:type="character">
    <w:name w:val="ListLabel 32"/>
    <w:next w:val="style166"/>
    <w:rPr>
      <w:rFonts w:cs="Wingdings"/>
    </w:rPr>
  </w:style>
  <w:style w:styleId="style167" w:type="character">
    <w:name w:val="ListLabel 33"/>
    <w:next w:val="style167"/>
    <w:rPr>
      <w:rFonts w:cs="Times New Roman"/>
    </w:rPr>
  </w:style>
  <w:style w:styleId="style168" w:type="character">
    <w:name w:val="ListLabel 34"/>
    <w:next w:val="style168"/>
    <w:rPr>
      <w:rFonts w:cs="Courier New"/>
    </w:rPr>
  </w:style>
  <w:style w:styleId="style169" w:type="character">
    <w:name w:val="ListLabel 35"/>
    <w:next w:val="style169"/>
    <w:rPr>
      <w:rFonts w:cs="Symbol"/>
    </w:rPr>
  </w:style>
  <w:style w:styleId="style170" w:type="character">
    <w:name w:val="ListLabel 36"/>
    <w:next w:val="style170"/>
    <w:rPr>
      <w:rFonts w:cs="Symbol"/>
      <w:b/>
    </w:rPr>
  </w:style>
  <w:style w:styleId="style171" w:type="character">
    <w:name w:val="ListLabel 37"/>
    <w:next w:val="style171"/>
    <w:rPr>
      <w:rFonts w:cs="Wingdings"/>
    </w:rPr>
  </w:style>
  <w:style w:styleId="style172" w:type="character">
    <w:name w:val="ListLabel 38"/>
    <w:next w:val="style172"/>
    <w:rPr>
      <w:rFonts w:cs="Times New Roman"/>
    </w:rPr>
  </w:style>
  <w:style w:styleId="style173" w:type="character">
    <w:name w:val="ListLabel 39"/>
    <w:next w:val="style173"/>
    <w:rPr>
      <w:rFonts w:cs="Courier New"/>
    </w:rPr>
  </w:style>
  <w:style w:styleId="style174" w:type="character">
    <w:name w:val="ListLabel 40"/>
    <w:next w:val="style174"/>
    <w:rPr>
      <w:rFonts w:cs="Symbol"/>
    </w:rPr>
  </w:style>
  <w:style w:styleId="style175" w:type="character">
    <w:name w:val="ListLabel 41"/>
    <w:next w:val="style175"/>
    <w:rPr>
      <w:rFonts w:cs="Symbol"/>
      <w:b/>
    </w:rPr>
  </w:style>
  <w:style w:styleId="style176" w:type="character">
    <w:name w:val="ListLabel 42"/>
    <w:next w:val="style176"/>
    <w:rPr>
      <w:rFonts w:cs="Wingdings"/>
    </w:rPr>
  </w:style>
  <w:style w:styleId="style177" w:type="character">
    <w:name w:val="ListLabel 43"/>
    <w:next w:val="style177"/>
    <w:rPr>
      <w:rFonts w:cs="Times New Roman"/>
    </w:rPr>
  </w:style>
  <w:style w:styleId="style178" w:type="character">
    <w:name w:val="ListLabel 44"/>
    <w:next w:val="style178"/>
    <w:rPr>
      <w:rFonts w:cs="Courier New"/>
    </w:rPr>
  </w:style>
  <w:style w:styleId="style179" w:type="character">
    <w:name w:val="ListLabel 45"/>
    <w:next w:val="style179"/>
    <w:rPr>
      <w:rFonts w:cs="Symbol"/>
    </w:rPr>
  </w:style>
  <w:style w:styleId="style180" w:type="character">
    <w:name w:val="ListLabel 46"/>
    <w:next w:val="style180"/>
    <w:rPr>
      <w:rFonts w:cs="Symbol"/>
      <w:b/>
    </w:rPr>
  </w:style>
  <w:style w:styleId="style181" w:type="character">
    <w:name w:val="ListLabel 47"/>
    <w:next w:val="style181"/>
    <w:rPr>
      <w:rFonts w:cs="Wingdings"/>
    </w:rPr>
  </w:style>
  <w:style w:styleId="style182" w:type="character">
    <w:name w:val="ListLabel 48"/>
    <w:next w:val="style182"/>
    <w:rPr>
      <w:rFonts w:cs="Times New Roman"/>
    </w:rPr>
  </w:style>
  <w:style w:styleId="style183" w:type="character">
    <w:name w:val="ListLabel 49"/>
    <w:next w:val="style183"/>
    <w:rPr>
      <w:rFonts w:cs="Courier New"/>
    </w:rPr>
  </w:style>
  <w:style w:styleId="style184" w:type="character">
    <w:name w:val="ListLabel 50"/>
    <w:next w:val="style184"/>
    <w:rPr>
      <w:rFonts w:cs="Symbol"/>
    </w:rPr>
  </w:style>
  <w:style w:styleId="style185" w:type="character">
    <w:name w:val="ListLabel 51"/>
    <w:next w:val="style185"/>
    <w:rPr>
      <w:rFonts w:cs="Symbol"/>
      <w:b/>
    </w:rPr>
  </w:style>
  <w:style w:styleId="style186" w:type="character">
    <w:name w:val="Index Link"/>
    <w:next w:val="style186"/>
    <w:rPr/>
  </w:style>
  <w:style w:styleId="style187" w:type="paragraph">
    <w:name w:val="Heading"/>
    <w:basedOn w:val="style0"/>
    <w:next w:val="style188"/>
    <w:pPr>
      <w:keepNext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styleId="style188" w:type="paragraph">
    <w:name w:val="Text body"/>
    <w:basedOn w:val="style0"/>
    <w:next w:val="style188"/>
    <w:pPr>
      <w:spacing w:after="120" w:before="0"/>
    </w:pPr>
    <w:rPr/>
  </w:style>
  <w:style w:styleId="style189" w:type="paragraph">
    <w:name w:val="List"/>
    <w:basedOn w:val="style188"/>
    <w:next w:val="style189"/>
    <w:pPr/>
    <w:rPr>
      <w:rFonts w:cs="Lohit Hindi"/>
    </w:rPr>
  </w:style>
  <w:style w:styleId="style190" w:type="paragraph">
    <w:name w:val="Caption"/>
    <w:basedOn w:val="style0"/>
    <w:next w:val="style19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1" w:type="paragraph">
    <w:name w:val="Index"/>
    <w:basedOn w:val="style0"/>
    <w:next w:val="style191"/>
    <w:pPr>
      <w:suppressLineNumbers/>
    </w:pPr>
    <w:rPr>
      <w:rFonts w:cs="Lohit Hindi"/>
    </w:rPr>
  </w:style>
  <w:style w:styleId="style192" w:type="paragraph">
    <w:name w:val="caption"/>
    <w:basedOn w:val="style0"/>
    <w:next w:val="style192"/>
    <w:pPr/>
    <w:rPr>
      <w:b/>
      <w:bCs/>
      <w:sz w:val="20"/>
      <w:szCs w:val="20"/>
    </w:rPr>
  </w:style>
  <w:style w:styleId="style193" w:type="paragraph">
    <w:name w:val="Header"/>
    <w:basedOn w:val="style0"/>
    <w:next w:val="style193"/>
    <w:pPr>
      <w:suppressLineNumbers/>
      <w:tabs>
        <w:tab w:leader="none" w:pos="4986" w:val="center"/>
        <w:tab w:leader="none" w:pos="9972" w:val="right"/>
      </w:tabs>
    </w:pPr>
    <w:rPr/>
  </w:style>
  <w:style w:styleId="style194" w:type="paragraph">
    <w:name w:val="Footer"/>
    <w:basedOn w:val="style0"/>
    <w:next w:val="style194"/>
    <w:pPr>
      <w:suppressLineNumbers/>
      <w:tabs>
        <w:tab w:leader="none" w:pos="4986" w:val="center"/>
        <w:tab w:leader="none" w:pos="9972" w:val="right"/>
      </w:tabs>
    </w:pPr>
    <w:rPr/>
  </w:style>
  <w:style w:styleId="style195" w:type="paragraph">
    <w:name w:val="Plain Text"/>
    <w:basedOn w:val="style0"/>
    <w:next w:val="style195"/>
    <w:pPr/>
    <w:rPr>
      <w:rFonts w:ascii="Courier New" w:cs="Courier New" w:hAnsi="Courier New"/>
      <w:sz w:val="20"/>
      <w:szCs w:val="20"/>
    </w:rPr>
  </w:style>
  <w:style w:styleId="style196" w:type="paragraph">
    <w:name w:val="Document Map"/>
    <w:basedOn w:val="style0"/>
    <w:next w:val="style196"/>
    <w:pPr>
      <w:shd w:fill="000080" w:val="clear"/>
    </w:pPr>
    <w:rPr>
      <w:rFonts w:ascii="Tahoma" w:cs="Tahoma" w:hAnsi="Tahoma"/>
      <w:sz w:val="20"/>
      <w:szCs w:val="20"/>
    </w:rPr>
  </w:style>
  <w:style w:styleId="style197" w:type="paragraph">
    <w:name w:val="Contents 1"/>
    <w:basedOn w:val="style0"/>
    <w:next w:val="style197"/>
    <w:pPr>
      <w:tabs>
        <w:tab w:leader="dot" w:pos="9972" w:val="right"/>
      </w:tabs>
      <w:ind w:hanging="0" w:left="0" w:right="0"/>
    </w:pPr>
    <w:rPr/>
  </w:style>
  <w:style w:styleId="style198" w:type="paragraph">
    <w:name w:val="Contents 3"/>
    <w:basedOn w:val="style0"/>
    <w:next w:val="style198"/>
    <w:pPr>
      <w:tabs>
        <w:tab w:leader="dot" w:pos="14206" w:val="right"/>
      </w:tabs>
      <w:ind w:hanging="0" w:left="480" w:right="0"/>
    </w:pPr>
    <w:rPr/>
  </w:style>
  <w:style w:styleId="style199" w:type="paragraph">
    <w:name w:val="line886"/>
    <w:basedOn w:val="style0"/>
    <w:next w:val="style199"/>
    <w:pPr>
      <w:spacing w:after="280" w:before="280"/>
    </w:pPr>
    <w:rPr/>
  </w:style>
  <w:style w:styleId="style200" w:type="paragraph">
    <w:name w:val="Contents 2"/>
    <w:basedOn w:val="style0"/>
    <w:next w:val="style200"/>
    <w:pPr>
      <w:tabs>
        <w:tab w:leader="dot" w:pos="12089" w:val="right"/>
      </w:tabs>
      <w:ind w:hanging="0" w:left="240" w:right="0"/>
    </w:pPr>
    <w:rPr/>
  </w:style>
  <w:style w:styleId="style201" w:type="paragraph">
    <w:name w:val="Contents 5"/>
    <w:basedOn w:val="style0"/>
    <w:next w:val="style201"/>
    <w:pPr>
      <w:tabs>
        <w:tab w:leader="dot" w:pos="18440" w:val="right"/>
      </w:tabs>
      <w:ind w:hanging="0" w:left="960" w:right="0"/>
    </w:pPr>
    <w:rPr/>
  </w:style>
  <w:style w:styleId="style202" w:type="paragraph">
    <w:name w:val="line903"/>
    <w:basedOn w:val="style0"/>
    <w:next w:val="style202"/>
    <w:pPr>
      <w:spacing w:after="280" w:before="280"/>
    </w:pPr>
    <w:rPr/>
  </w:style>
  <w:style w:styleId="style203" w:type="paragraph">
    <w:name w:val="List Paragraph"/>
    <w:basedOn w:val="style0"/>
    <w:next w:val="style203"/>
    <w:pPr>
      <w:ind w:hanging="0" w:left="720" w:right="0"/>
    </w:pPr>
    <w:rPr/>
  </w:style>
  <w:style w:styleId="style204" w:type="paragraph">
    <w:name w:val="Contents Heading"/>
    <w:basedOn w:val="style1"/>
    <w:next w:val="style204"/>
    <w:pPr>
      <w:keepLines/>
      <w:suppressLineNumbers/>
      <w:spacing w:after="0" w:before="480" w:line="276" w:lineRule="auto"/>
      <w:ind w:hanging="0" w:left="0" w:right="0"/>
    </w:pPr>
    <w:rPr>
      <w:rFonts w:ascii="Cambria" w:cs="Times New Roman" w:hAnsi="Cambria"/>
      <w:b/>
      <w:bCs/>
      <w:color w:val="365F91"/>
      <w:sz w:val="32"/>
      <w:szCs w:val="32"/>
    </w:rPr>
  </w:style>
  <w:style w:styleId="style205" w:type="paragraph">
    <w:name w:val="Balloon Text"/>
    <w:basedOn w:val="style0"/>
    <w:next w:val="style205"/>
    <w:pPr/>
    <w:rPr>
      <w:rFonts w:ascii="Tahoma" w:cs="Tahoma" w:hAnsi="Tahoma"/>
      <w:sz w:val="16"/>
      <w:szCs w:val="16"/>
    </w:rPr>
  </w:style>
  <w:style w:styleId="style206" w:type="paragraph">
    <w:name w:val="Title"/>
    <w:basedOn w:val="style0"/>
    <w:next w:val="style207"/>
    <w:pPr>
      <w:spacing w:after="60" w:before="240"/>
      <w:jc w:val="center"/>
    </w:pPr>
    <w:rPr>
      <w:rFonts w:ascii="Cambria" w:cs="Cambria" w:hAnsi="Cambria"/>
      <w:b/>
      <w:bCs/>
      <w:i/>
      <w:sz w:val="32"/>
      <w:szCs w:val="32"/>
    </w:rPr>
  </w:style>
  <w:style w:styleId="style207" w:type="paragraph">
    <w:name w:val="Subtitle"/>
    <w:basedOn w:val="style187"/>
    <w:next w:val="style188"/>
    <w:pPr>
      <w:jc w:val="center"/>
    </w:pPr>
    <w:rPr>
      <w:i/>
      <w:iCs/>
      <w:sz w:val="28"/>
      <w:szCs w:val="28"/>
    </w:rPr>
  </w:style>
  <w:style w:styleId="style208" w:type="paragraph">
    <w:name w:val="HTML Preformatted"/>
    <w:basedOn w:val="style0"/>
    <w:next w:val="style208"/>
    <w:pPr/>
    <w:rPr>
      <w:rFonts w:ascii="Courier New" w:cs="Courier New" w:hAnsi="Courier New"/>
      <w:sz w:val="20"/>
      <w:szCs w:val="20"/>
    </w:rPr>
  </w:style>
  <w:style w:styleId="style209" w:type="paragraph">
    <w:name w:val="Step"/>
    <w:basedOn w:val="style0"/>
    <w:next w:val="style209"/>
    <w:pPr>
      <w:spacing w:after="120" w:before="0"/>
    </w:pPr>
    <w:rPr>
      <w:b/>
    </w:rPr>
  </w:style>
  <w:style w:styleId="style210" w:type="paragraph">
    <w:name w:val="Style1"/>
    <w:basedOn w:val="style209"/>
    <w:next w:val="style210"/>
    <w:pPr>
      <w:spacing w:after="120" w:before="120"/>
    </w:pPr>
    <w:rPr/>
  </w:style>
  <w:style w:styleId="style211" w:type="paragraph">
    <w:name w:val="Style2"/>
    <w:basedOn w:val="style210"/>
    <w:next w:val="style211"/>
    <w:pPr>
      <w:spacing w:after="120" w:before="240"/>
    </w:pPr>
    <w:rPr/>
  </w:style>
  <w:style w:styleId="style212" w:type="paragraph">
    <w:name w:val="WW-Default"/>
    <w:next w:val="style212"/>
    <w:pPr>
      <w:widowControl w:val="false"/>
      <w:tabs>
        <w:tab w:leader="none" w:pos="720" w:val="left"/>
      </w:tabs>
      <w:suppressAutoHyphens w:val="true"/>
    </w:pPr>
    <w:rPr>
      <w:rFonts w:ascii="Times New Roman" w:cs="Times New Roman" w:eastAsia="Arial" w:hAnsi="Times New Roman"/>
      <w:color w:val="000000"/>
      <w:sz w:val="24"/>
      <w:szCs w:val="24"/>
      <w:lang w:bidi="ar-SA" w:eastAsia="zh-CN" w:val="en-US"/>
    </w:rPr>
  </w:style>
  <w:style w:styleId="style213" w:type="paragraph">
    <w:name w:val="Table Contents"/>
    <w:basedOn w:val="style0"/>
    <w:next w:val="style213"/>
    <w:pPr>
      <w:suppressLineNumbers/>
    </w:pPr>
    <w:rPr/>
  </w:style>
  <w:style w:styleId="style214" w:type="paragraph">
    <w:name w:val="Table Heading"/>
    <w:basedOn w:val="style213"/>
    <w:next w:val="style214"/>
    <w:pPr>
      <w:suppressLineNumbers/>
      <w:jc w:val="center"/>
    </w:pPr>
    <w:rPr>
      <w:b/>
      <w:bCs/>
    </w:rPr>
  </w:style>
  <w:style w:styleId="style215" w:type="paragraph">
    <w:name w:val="Contents 4"/>
    <w:basedOn w:val="style191"/>
    <w:next w:val="style215"/>
    <w:pPr>
      <w:tabs>
        <w:tab w:leader="dot" w:pos="17613" w:val="right"/>
      </w:tabs>
      <w:ind w:hanging="0" w:left="849" w:right="0"/>
    </w:pPr>
    <w:rPr/>
  </w:style>
  <w:style w:styleId="style216" w:type="paragraph">
    <w:name w:val="Contents 6"/>
    <w:basedOn w:val="style191"/>
    <w:next w:val="style216"/>
    <w:pPr>
      <w:tabs>
        <w:tab w:leader="dot" w:pos="22707" w:val="right"/>
      </w:tabs>
      <w:ind w:hanging="0" w:left="1415" w:right="0"/>
    </w:pPr>
    <w:rPr/>
  </w:style>
  <w:style w:styleId="style217" w:type="paragraph">
    <w:name w:val="Contents 7"/>
    <w:basedOn w:val="style191"/>
    <w:next w:val="style217"/>
    <w:pPr>
      <w:tabs>
        <w:tab w:leader="dot" w:pos="25254" w:val="right"/>
      </w:tabs>
      <w:ind w:hanging="0" w:left="1698" w:right="0"/>
    </w:pPr>
    <w:rPr/>
  </w:style>
  <w:style w:styleId="style218" w:type="paragraph">
    <w:name w:val="Contents 8"/>
    <w:basedOn w:val="style191"/>
    <w:next w:val="style218"/>
    <w:pPr>
      <w:tabs>
        <w:tab w:leader="dot" w:pos="27801" w:val="right"/>
      </w:tabs>
      <w:ind w:hanging="0" w:left="1981" w:right="0"/>
    </w:pPr>
    <w:rPr/>
  </w:style>
  <w:style w:styleId="style219" w:type="paragraph">
    <w:name w:val="Contents 9"/>
    <w:basedOn w:val="style191"/>
    <w:next w:val="style219"/>
    <w:pPr>
      <w:tabs>
        <w:tab w:leader="dot" w:pos="30348" w:val="right"/>
      </w:tabs>
      <w:ind w:hanging="0" w:left="2264" w:right="0"/>
    </w:pPr>
    <w:rPr/>
  </w:style>
  <w:style w:styleId="style220" w:type="paragraph">
    <w:name w:val="Contents 10"/>
    <w:basedOn w:val="style191"/>
    <w:next w:val="style220"/>
    <w:pPr>
      <w:tabs>
        <w:tab w:leader="dot" w:pos="32895" w:val="right"/>
      </w:tabs>
      <w:ind w:hanging="0" w:left="2547" w:right="0"/>
    </w:pPr>
    <w:rPr/>
  </w:style>
  <w:style w:styleId="style221" w:type="paragraph">
    <w:name w:val="Caption1"/>
    <w:basedOn w:val="style0"/>
    <w:next w:val="style221"/>
    <w:pPr>
      <w:tabs>
        <w:tab w:leader="none" w:pos="720" w:val="left"/>
      </w:tabs>
    </w:pPr>
    <w:rPr>
      <w:b/>
      <w:bCs/>
      <w:color w:val="00000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1.png"/><Relationship Id="rId8" Type="http://schemas.openxmlformats.org/officeDocument/2006/relationships/image" Target="media/image12.png"/><Relationship Id="rId9" Type="http://schemas.openxmlformats.org/officeDocument/2006/relationships/image" Target="media/image13.png"/><Relationship Id="rId10" Type="http://schemas.openxmlformats.org/officeDocument/2006/relationships/image" Target="media/image14.png"/><Relationship Id="rId11" Type="http://schemas.openxmlformats.org/officeDocument/2006/relationships/image" Target="media/image15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2013-11-01T00:11:00.00Z</dcterms:created>
  <dc:creator>Fabrice Matichard</dc:creator>
  <cp:lastModifiedBy>Hugo Paris</cp:lastModifiedBy>
  <cp:lastPrinted>2013-11-01T00:11:00.00Z</cp:lastPrinted>
  <dcterms:modified xsi:type="dcterms:W3CDTF">2013-11-01T00:13:00.00Z</dcterms:modified>
  <cp:revision>6</cp:revision>
  <dc:title>LIGO Laboratory / LIGO Scientific Collaboration</dc:title>
</cp:coreProperties>
</file>