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7BA84710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 w:rsidR="004431B8">
        <w:t>1400011</w:t>
      </w:r>
      <w:r w:rsidR="00F5292B">
        <w:t>-v</w:t>
      </w:r>
      <w:r w:rsidR="00976A78">
        <w:t>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4431B8">
        <w:tab/>
      </w:r>
      <w:r w:rsidR="00976A78">
        <w:t>February 26</w:t>
      </w:r>
      <w:r w:rsidR="004431B8">
        <w:t>, 2014</w:t>
      </w:r>
    </w:p>
    <w:p w14:paraId="26D9D457" w14:textId="77777777" w:rsidR="005F48B2" w:rsidRDefault="002616F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13F92270" w:rsidR="005F48B2" w:rsidRDefault="000E0D4A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>ISC Beam Diverters:</w:t>
      </w:r>
      <w:r w:rsidR="004D2405">
        <w:t xml:space="preserve"> Acceptance Documentation</w:t>
      </w:r>
    </w:p>
    <w:p w14:paraId="461C9C1E" w14:textId="77777777" w:rsidR="005F48B2" w:rsidRDefault="002616F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53E90CC2" w:rsidR="005F48B2" w:rsidRDefault="000E0D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P. Fritschel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1F61B5D9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028A00F4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279BC48E" w14:textId="4025F89D" w:rsidR="00453EE9" w:rsidRPr="00453EE9" w:rsidRDefault="00453EE9" w:rsidP="00453EE9">
      <w:r>
        <w:t>There is no separate requirements document for the Beam Diverter; see design document for a statement of what the device is intended to do</w:t>
      </w:r>
      <w:r w:rsidR="00976A78">
        <w:t xml:space="preserve"> (Introduction</w:t>
      </w:r>
      <w:bookmarkStart w:id="0" w:name="_GoBack"/>
      <w:bookmarkEnd w:id="0"/>
      <w:r w:rsidR="00976A78">
        <w:t xml:space="preserve"> of </w:t>
      </w:r>
      <w:hyperlink r:id="rId8" w:history="1">
        <w:r w:rsidR="00976A78" w:rsidRPr="00453EE9">
          <w:rPr>
            <w:rStyle w:val="Hyperlink"/>
            <w:rFonts w:cs="Helvetica"/>
            <w:szCs w:val="24"/>
          </w:rPr>
          <w:t>LIGO-T1100252</w:t>
        </w:r>
      </w:hyperlink>
      <w:r w:rsidR="00976A78">
        <w:rPr>
          <w:rStyle w:val="Hyperlink"/>
          <w:rFonts w:cs="Helvetica"/>
          <w:szCs w:val="24"/>
        </w:rPr>
        <w:t>)</w:t>
      </w:r>
      <w:r>
        <w:t>.</w:t>
      </w:r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7CA133DC" w14:textId="6AC681D2" w:rsidR="00453EE9" w:rsidRDefault="00453EE9" w:rsidP="00453EE9">
      <w:r>
        <w:t>Design documentation is in the aLIGO DCC tree, starting at:</w:t>
      </w:r>
    </w:p>
    <w:p w14:paraId="7DCE34A4" w14:textId="21B070FF" w:rsidR="00453EE9" w:rsidRPr="00453EE9" w:rsidRDefault="002616F4" w:rsidP="00453EE9">
      <w:hyperlink r:id="rId9" w:history="1">
        <w:r w:rsidR="00453EE9" w:rsidRPr="00453EE9">
          <w:rPr>
            <w:rStyle w:val="Hyperlink"/>
          </w:rPr>
          <w:t>LIGO-E1200835</w:t>
        </w:r>
      </w:hyperlink>
      <w:r w:rsidR="00453EE9">
        <w:t>: aLIGO, ISC, In-Vacuum Beam Diverter</w:t>
      </w:r>
    </w:p>
    <w:p w14:paraId="6B741AB7" w14:textId="102E9EA4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453EE9">
        <w:rPr>
          <w:rFonts w:cs="Helvetica"/>
          <w:i/>
          <w:szCs w:val="24"/>
        </w:rPr>
        <w:t>a) Final Design Document (FDD</w:t>
      </w:r>
      <w:r w:rsidR="00453EE9">
        <w:rPr>
          <w:rFonts w:cs="Helvetica"/>
          <w:i/>
          <w:szCs w:val="24"/>
        </w:rPr>
        <w:t xml:space="preserve">): </w:t>
      </w:r>
      <w:hyperlink r:id="rId10" w:history="1">
        <w:r w:rsidR="00453EE9" w:rsidRPr="00453EE9">
          <w:rPr>
            <w:rStyle w:val="Hyperlink"/>
            <w:rFonts w:cs="Helvetica"/>
            <w:szCs w:val="24"/>
          </w:rPr>
          <w:t>LIGO-T1100252</w:t>
        </w:r>
      </w:hyperlink>
    </w:p>
    <w:p w14:paraId="6031C5BB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b) Review reports:</w:t>
      </w:r>
    </w:p>
    <w:p w14:paraId="3669BED7" w14:textId="29A0BE3F" w:rsidR="00A34ABF" w:rsidRPr="00E57040" w:rsidRDefault="00E5704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The beam diverter design we ended up with was not reviewed (oversight). An earlier version based on a linear motor was reviewed (review report is T1000413); however, we abandoned this design during prototyping, and changed to the rotor design.</w:t>
      </w:r>
    </w:p>
    <w:p w14:paraId="37F7E9DD" w14:textId="16AF4F74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c) Supporting design documents: models, analyses, specifications, etc. </w:t>
      </w:r>
    </w:p>
    <w:p w14:paraId="5E87E370" w14:textId="1E2D38C6" w:rsidR="00E57040" w:rsidRPr="00E57040" w:rsidRDefault="00E5704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None.</w:t>
      </w:r>
    </w:p>
    <w:p w14:paraId="5DB0F874" w14:textId="50CA47C8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d) Drawings: cite the top level assembly drawing for ea</w:t>
      </w:r>
      <w:r w:rsidR="00E57040">
        <w:rPr>
          <w:rFonts w:cs="Helvetica"/>
          <w:i/>
          <w:szCs w:val="24"/>
        </w:rPr>
        <w:t>ch major assembly or subsystem.</w:t>
      </w:r>
    </w:p>
    <w:p w14:paraId="6693D7CA" w14:textId="4DA5797E" w:rsidR="00E57040" w:rsidRPr="00E57040" w:rsidRDefault="002616F4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hyperlink r:id="rId11" w:history="1">
        <w:r w:rsidR="00E57040" w:rsidRPr="00E57040">
          <w:rPr>
            <w:rStyle w:val="Hyperlink"/>
            <w:rFonts w:cs="Helvetica"/>
            <w:szCs w:val="24"/>
          </w:rPr>
          <w:t>LIGO-D1100642</w:t>
        </w:r>
      </w:hyperlink>
    </w:p>
    <w:p w14:paraId="762BF241" w14:textId="6A612476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e) Bill(s) of Materials (BOM): cite any collected BOMs. If the BOMs are only to be found on the Assembly and Sub-Assembly drawing sheets, then state so.</w:t>
      </w:r>
    </w:p>
    <w:p w14:paraId="6032ACDD" w14:textId="1667729D" w:rsidR="00E57040" w:rsidRPr="00E57040" w:rsidRDefault="00E5704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BOMs are found in the assembly drawings.</w:t>
      </w:r>
    </w:p>
    <w:p w14:paraId="1C0C3EA3" w14:textId="2D16B9C5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f) Interface control: cite any documents (such as RODAs) with interface definition/control and/or cite the relevant sections of the DRD and FDD.</w:t>
      </w:r>
    </w:p>
    <w:p w14:paraId="19A4AC88" w14:textId="5D7B996C" w:rsidR="00E57040" w:rsidRPr="00E57040" w:rsidRDefault="00E5704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None.</w:t>
      </w:r>
    </w:p>
    <w:p w14:paraId="50A90DB7" w14:textId="2D095722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g) Software: cite any software design description documentation</w:t>
      </w:r>
      <w:r w:rsidR="00E57040">
        <w:rPr>
          <w:rFonts w:cs="Helvetica"/>
          <w:i/>
          <w:szCs w:val="24"/>
        </w:rPr>
        <w:t>.</w:t>
      </w:r>
    </w:p>
    <w:p w14:paraId="13C94FDC" w14:textId="3657825E" w:rsidR="00E57040" w:rsidRPr="00E57040" w:rsidRDefault="00E5704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TwinCat library: </w:t>
      </w:r>
      <w:hyperlink r:id="rId12" w:history="1">
        <w:r w:rsidRPr="00E57040">
          <w:rPr>
            <w:rStyle w:val="Hyperlink"/>
            <w:rFonts w:cs="Helvetica"/>
            <w:szCs w:val="24"/>
          </w:rPr>
          <w:t>LIGO-E1300124</w:t>
        </w:r>
      </w:hyperlink>
    </w:p>
    <w:p w14:paraId="0080094A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h) Design source data:</w:t>
      </w:r>
    </w:p>
    <w:p w14:paraId="1C9691B8" w14:textId="5BE18F29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   - Confirm that all mechanical design CAD models are in the SolidWorks/PDMWorks vault, or explain what is not and why.</w:t>
      </w:r>
    </w:p>
    <w:p w14:paraId="344D97BF" w14:textId="53AA672B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   - Confirm that all electronics design CAD models (schematics and PWB layouts) are backed up and available on LIGO Lab archives, or explain what is not and why.</w:t>
      </w:r>
    </w:p>
    <w:p w14:paraId="75CB97FD" w14:textId="5A74FD46" w:rsidR="005F48B2" w:rsidRPr="003034E8" w:rsidRDefault="003034E8">
      <w:r>
        <w:t>Confirmed.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00B78EAB" w14:textId="0064B7B7" w:rsidR="007313B9" w:rsidRDefault="007313B9" w:rsidP="007313B9">
      <w:pPr>
        <w:rPr>
          <w:i/>
        </w:rPr>
      </w:pPr>
      <w:r w:rsidRPr="007313B9">
        <w:rPr>
          <w:i/>
        </w:rPr>
        <w:t>Any special materials, or treatment of materials including preparation for in-vacuum use; this may be integrated into the Design documentation.</w:t>
      </w:r>
    </w:p>
    <w:p w14:paraId="55255D31" w14:textId="71507FD3" w:rsidR="003034E8" w:rsidRPr="003034E8" w:rsidRDefault="00976A78" w:rsidP="007313B9">
      <w:pPr>
        <w:rPr>
          <w:b/>
          <w:color w:val="008000"/>
        </w:rPr>
      </w:pPr>
      <w:r>
        <w:t>Reed switches</w:t>
      </w:r>
      <w:r w:rsidR="003034E8">
        <w:t xml:space="preserve"> are vacuum encapsulated, hermetic sealed units. All other materials are standard vacuum materials.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lastRenderedPageBreak/>
        <w:t>Parts</w:t>
      </w:r>
      <w:r>
        <w:t xml:space="preserve"> </w:t>
      </w:r>
      <w:r w:rsidRPr="00C25CE2">
        <w:t xml:space="preserve">and </w:t>
      </w:r>
      <w:r w:rsidR="003D4D8F" w:rsidRPr="00C25CE2">
        <w:t>in-process</w:t>
      </w:r>
      <w:r w:rsidR="003D4D8F">
        <w:t xml:space="preserve"> </w:t>
      </w:r>
      <w:r>
        <w:t>spares inventoried</w:t>
      </w:r>
    </w:p>
    <w:p w14:paraId="2BDB20D6" w14:textId="0A998582" w:rsidR="005F48B2" w:rsidRPr="00E826F4" w:rsidRDefault="00E826F4">
      <w:r>
        <w:t>All Beam Diverter assemblies are in ICS as assembly records: ASSY-D1100642-Snn. There are 19 assembled units, including one first article that has some minor differences from the others. Each interferometer requires 6 units (2 for the TransMonitors, 2 in HAM1, 2 in HAM6).</w:t>
      </w:r>
      <w:r w:rsidR="00C25CE2">
        <w:t xml:space="preserve"> Spare parts also exist and are in ICS.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3B2C52ED" w14:textId="163705E0" w:rsidR="007313B9" w:rsidRPr="003034E8" w:rsidRDefault="003034E8" w:rsidP="007313B9">
      <w:r>
        <w:t xml:space="preserve">Assembly procedure: </w:t>
      </w:r>
      <w:hyperlink r:id="rId13" w:history="1">
        <w:r w:rsidRPr="003034E8">
          <w:rPr>
            <w:rStyle w:val="Hyperlink"/>
          </w:rPr>
          <w:t>LIGO-E1100686</w:t>
        </w:r>
      </w:hyperlink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4EC64ECB" w:rsidR="007313B9" w:rsidRPr="00E826F4" w:rsidRDefault="00E826F4" w:rsidP="007313B9">
      <w:r>
        <w:t>No installation procedures are required.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5316EBD5" w14:textId="77777777" w:rsidR="00E826F4" w:rsidRDefault="00E826F4" w:rsidP="00E2392E">
      <w:r>
        <w:t xml:space="preserve">A rig for testing beam diverter functionality was produced: </w:t>
      </w:r>
    </w:p>
    <w:p w14:paraId="4C472F25" w14:textId="7BBA5FA7" w:rsidR="00E2392E" w:rsidRDefault="002616F4" w:rsidP="00E2392E">
      <w:hyperlink r:id="rId14" w:history="1">
        <w:r w:rsidR="00E826F4" w:rsidRPr="00E826F4">
          <w:rPr>
            <w:rStyle w:val="Hyperlink"/>
          </w:rPr>
          <w:t>LIGO-E1201078</w:t>
        </w:r>
      </w:hyperlink>
      <w:r w:rsidR="00E826F4">
        <w:t>: aLIGO, ISC, Electronics, Beam Diverter Tester</w:t>
      </w:r>
    </w:p>
    <w:p w14:paraId="01BB3C2F" w14:textId="1FE531EC" w:rsidR="00976A78" w:rsidRPr="00976A78" w:rsidRDefault="00976A78" w:rsidP="00E2392E">
      <w:r>
        <w:t xml:space="preserve">Section 3 of the assembly procedure, </w:t>
      </w:r>
      <w:hyperlink r:id="rId15" w:history="1">
        <w:r w:rsidRPr="003034E8">
          <w:rPr>
            <w:rStyle w:val="Hyperlink"/>
          </w:rPr>
          <w:t>LIGO-E1100686</w:t>
        </w:r>
      </w:hyperlink>
      <w:r>
        <w:rPr>
          <w:rStyle w:val="Hyperlink"/>
        </w:rPr>
        <w:t xml:space="preserve">, </w:t>
      </w:r>
      <w:r>
        <w:rPr>
          <w:rStyle w:val="Hyperlink"/>
          <w:color w:val="auto"/>
          <w:u w:val="none"/>
        </w:rPr>
        <w:t xml:space="preserve">outlines the test procedure. Test results are included in ICS, as a Test Record for each unit (e.g., </w:t>
      </w:r>
      <w:hyperlink r:id="rId16" w:history="1">
        <w:r w:rsidRPr="00976A78">
          <w:rPr>
            <w:rStyle w:val="Hyperlink"/>
          </w:rPr>
          <w:t>TEST-ISC-11771</w:t>
        </w:r>
      </w:hyperlink>
      <w:r>
        <w:rPr>
          <w:rStyle w:val="Hyperlink"/>
          <w:color w:val="auto"/>
          <w:u w:val="none"/>
        </w:rPr>
        <w:t>).</w:t>
      </w:r>
    </w:p>
    <w:p w14:paraId="61E873EF" w14:textId="77777777" w:rsidR="00223FBC" w:rsidRDefault="00223FBC" w:rsidP="00223FBC">
      <w:pPr>
        <w:pStyle w:val="Heading1"/>
      </w:pPr>
      <w:r w:rsidRPr="00810FE9">
        <w:t>User interface software</w:t>
      </w:r>
    </w:p>
    <w:p w14:paraId="426F3090" w14:textId="27B45E52" w:rsidR="00E826F4" w:rsidRPr="00E826F4" w:rsidRDefault="00A62204" w:rsidP="00E826F4">
      <w:r>
        <w:t>User interface is an medm screen with an ‘Open/Closed’ toggle, and readbacks of the reed switches.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262EDAA7" w:rsidR="00223FBC" w:rsidRPr="00A62204" w:rsidRDefault="00A62204" w:rsidP="00223FBC">
      <w:r>
        <w:t>An operations manual is not deemed to be required.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BB2C6D4" w14:textId="77777777" w:rsidR="00223FBC" w:rsidRDefault="00223FBC" w:rsidP="00223FBC">
      <w:pPr>
        <w:rPr>
          <w:i/>
        </w:rPr>
      </w:pPr>
      <w:r w:rsidRPr="00223FBC">
        <w:rPr>
          <w:i/>
        </w:rPr>
        <w:t xml:space="preserve">Safety documentation must be in the DCC for all phases of the subsystem development, including any needed for normal use or foreseen maintenance/repair scenarios. </w:t>
      </w:r>
    </w:p>
    <w:p w14:paraId="1B8D9A9F" w14:textId="22717F02" w:rsidR="00A62204" w:rsidRPr="00A62204" w:rsidRDefault="00A62204" w:rsidP="00223FBC">
      <w:r>
        <w:t>N/A</w:t>
      </w:r>
    </w:p>
    <w:p w14:paraId="74829219" w14:textId="77777777" w:rsidR="00223FBC" w:rsidRPr="00223FBC" w:rsidRDefault="00223FBC" w:rsidP="00223FBC"/>
    <w:p w14:paraId="502BB62D" w14:textId="77777777" w:rsidR="00223FBC" w:rsidRPr="00223FBC" w:rsidRDefault="00223FBC" w:rsidP="00223FBC"/>
    <w:sectPr w:rsidR="00223FBC" w:rsidRPr="00223FBC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A62204" w:rsidRDefault="00A62204">
      <w:r>
        <w:separator/>
      </w:r>
    </w:p>
  </w:endnote>
  <w:endnote w:type="continuationSeparator" w:id="0">
    <w:p w14:paraId="55821BDF" w14:textId="77777777" w:rsidR="00A62204" w:rsidRDefault="00A6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A62204" w:rsidRDefault="00A62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A62204" w:rsidRDefault="00A622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A62204" w:rsidRDefault="00A6220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6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67BF4A" w14:textId="77777777" w:rsidR="00A62204" w:rsidRDefault="00A622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A62204" w:rsidRDefault="00A62204">
      <w:r>
        <w:separator/>
      </w:r>
    </w:p>
  </w:footnote>
  <w:footnote w:type="continuationSeparator" w:id="0">
    <w:p w14:paraId="78784471" w14:textId="77777777" w:rsidR="00A62204" w:rsidRDefault="00A62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7237BE61" w:rsidR="00A62204" w:rsidRDefault="00A6220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</w:t>
    </w:r>
    <w:r w:rsidR="004431B8">
      <w:rPr>
        <w:sz w:val="20"/>
      </w:rPr>
      <w:t>400011</w:t>
    </w:r>
    <w:r w:rsidR="002616F4">
      <w:rPr>
        <w:sz w:val="20"/>
      </w:rPr>
      <w:t>-v2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A62204" w:rsidRDefault="00A6220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2616F4"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28788961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9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E0D4A"/>
    <w:rsid w:val="001B3B66"/>
    <w:rsid w:val="00223FBC"/>
    <w:rsid w:val="00255B4C"/>
    <w:rsid w:val="002616F4"/>
    <w:rsid w:val="003034E8"/>
    <w:rsid w:val="0036226E"/>
    <w:rsid w:val="003D4D8F"/>
    <w:rsid w:val="004431B8"/>
    <w:rsid w:val="00453EE9"/>
    <w:rsid w:val="004D2405"/>
    <w:rsid w:val="0054334E"/>
    <w:rsid w:val="00563A05"/>
    <w:rsid w:val="005E13FE"/>
    <w:rsid w:val="005F48B2"/>
    <w:rsid w:val="0060173C"/>
    <w:rsid w:val="007313B9"/>
    <w:rsid w:val="00776291"/>
    <w:rsid w:val="0078145B"/>
    <w:rsid w:val="00832753"/>
    <w:rsid w:val="00864E39"/>
    <w:rsid w:val="008E7496"/>
    <w:rsid w:val="009022BF"/>
    <w:rsid w:val="00976A78"/>
    <w:rsid w:val="009B19DD"/>
    <w:rsid w:val="00A34ABF"/>
    <w:rsid w:val="00A62204"/>
    <w:rsid w:val="00BC37C2"/>
    <w:rsid w:val="00C25CE2"/>
    <w:rsid w:val="00CB2AD5"/>
    <w:rsid w:val="00CC3B9F"/>
    <w:rsid w:val="00E2392E"/>
    <w:rsid w:val="00E271E7"/>
    <w:rsid w:val="00E57040"/>
    <w:rsid w:val="00E66298"/>
    <w:rsid w:val="00E826F4"/>
    <w:rsid w:val="00F5292B"/>
    <w:rsid w:val="00F65452"/>
    <w:rsid w:val="00FB3DA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LIGO-E1200835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cc.ligo.org/LIGO-T1100252" TargetMode="External"/><Relationship Id="rId11" Type="http://schemas.openxmlformats.org/officeDocument/2006/relationships/hyperlink" Target="https://dcc.ligo.org/LIGO-D1100642" TargetMode="External"/><Relationship Id="rId12" Type="http://schemas.openxmlformats.org/officeDocument/2006/relationships/hyperlink" Target="https://dcc.ligo.org/LIGO-E1300124" TargetMode="External"/><Relationship Id="rId13" Type="http://schemas.openxmlformats.org/officeDocument/2006/relationships/hyperlink" Target="https://dcc.ligo.org/LIGO-E1100686" TargetMode="External"/><Relationship Id="rId14" Type="http://schemas.openxmlformats.org/officeDocument/2006/relationships/hyperlink" Target="https://dcc.ligo.org/LIGO-E1201078" TargetMode="External"/><Relationship Id="rId15" Type="http://schemas.openxmlformats.org/officeDocument/2006/relationships/hyperlink" Target="https://dcc.ligo.org/LIGO-E1100686" TargetMode="External"/><Relationship Id="rId16" Type="http://schemas.openxmlformats.org/officeDocument/2006/relationships/hyperlink" Target="https://ics-redux.ligo-la.caltech.edu/JIRA/browse/TEST-ISC-11771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LIGO-T11002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598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8</cp:revision>
  <cp:lastPrinted>2000-07-19T02:21:00Z</cp:lastPrinted>
  <dcterms:created xsi:type="dcterms:W3CDTF">2014-01-08T19:57:00Z</dcterms:created>
  <dcterms:modified xsi:type="dcterms:W3CDTF">2014-02-26T20:16:00Z</dcterms:modified>
</cp:coreProperties>
</file>