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DA" w:rsidRDefault="0007410F" w:rsidP="002844DA">
      <w:pPr>
        <w:rPr>
          <w:b/>
        </w:rPr>
      </w:pPr>
      <w:r>
        <w:rPr>
          <w:b/>
        </w:rPr>
        <w:t>ESD Bias Path Filter Test Procedure and Data</w:t>
      </w:r>
    </w:p>
    <w:p w:rsidR="002844DA" w:rsidRDefault="002844DA" w:rsidP="002844DA">
      <w:pPr>
        <w:rPr>
          <w:b/>
        </w:rPr>
      </w:pPr>
      <w:r>
        <w:rPr>
          <w:b/>
        </w:rPr>
        <w:t>R. Abbott</w:t>
      </w:r>
    </w:p>
    <w:p w:rsidR="002844DA" w:rsidRDefault="0007410F" w:rsidP="002844DA">
      <w:pPr>
        <w:rPr>
          <w:b/>
        </w:rPr>
      </w:pPr>
      <w:r>
        <w:rPr>
          <w:b/>
        </w:rPr>
        <w:t>29</w:t>
      </w:r>
      <w:r w:rsidR="002844DA">
        <w:rPr>
          <w:b/>
        </w:rPr>
        <w:t xml:space="preserve"> </w:t>
      </w:r>
      <w:r>
        <w:rPr>
          <w:b/>
        </w:rPr>
        <w:t>August 2014</w:t>
      </w:r>
    </w:p>
    <w:p w:rsidR="002844DA" w:rsidRDefault="002844DA" w:rsidP="002844DA">
      <w:pPr>
        <w:pStyle w:val="Caption"/>
        <w:keepNext/>
        <w:rPr>
          <w:color w:val="000000" w:themeColor="text1"/>
          <w:sz w:val="24"/>
          <w:szCs w:val="24"/>
        </w:rPr>
      </w:pPr>
    </w:p>
    <w:p w:rsidR="00A81ECE" w:rsidRDefault="00E1498F" w:rsidP="002844DA">
      <w:r>
        <w:t xml:space="preserve">Tested By:  </w:t>
      </w:r>
    </w:p>
    <w:p w:rsidR="002844DA" w:rsidRDefault="002844DA" w:rsidP="002844DA">
      <w:r>
        <w:t>Test Date</w:t>
      </w:r>
      <w:r w:rsidR="00E1498F">
        <w:t xml:space="preserve">:  </w:t>
      </w:r>
    </w:p>
    <w:p w:rsidR="002844DA" w:rsidRDefault="0007410F" w:rsidP="002844DA">
      <w:r>
        <w:t>Filter</w:t>
      </w:r>
      <w:r w:rsidR="002844DA">
        <w:t xml:space="preserve"> Serial Number</w:t>
      </w:r>
      <w:r w:rsidR="00E1498F">
        <w:t xml:space="preserve">:  </w:t>
      </w:r>
    </w:p>
    <w:p w:rsidR="002844DA" w:rsidRPr="002844DA" w:rsidRDefault="002844DA" w:rsidP="002844DA"/>
    <w:p w:rsidR="00184B63" w:rsidRDefault="00184B63" w:rsidP="00184B63">
      <w:pPr>
        <w:pStyle w:val="Caption"/>
        <w:keepNext/>
        <w:rPr>
          <w:b w:val="0"/>
          <w:color w:val="000000" w:themeColor="text1"/>
          <w:sz w:val="24"/>
          <w:szCs w:val="24"/>
        </w:rPr>
      </w:pPr>
      <w:r>
        <w:rPr>
          <w:b w:val="0"/>
          <w:color w:val="000000" w:themeColor="text1"/>
          <w:sz w:val="24"/>
          <w:szCs w:val="24"/>
        </w:rPr>
        <w:t>Overview – The high voltage filters (D1400192) used in the ESD drive system consist of a two stage low pass filter.  The components used in this filter permit safe use up to 600VDC (limited by the dielectric rating of the wire used internally to the filter assembly).  This test procedure verifies the correct magnitude and phase of the filter transfer function, and checks that the filter does not break down upon application of voltages representative of those found in the ESD driver system.</w:t>
      </w:r>
    </w:p>
    <w:p w:rsidR="00184B63" w:rsidRDefault="00184B63" w:rsidP="00184B63">
      <w:pPr>
        <w:ind w:firstLine="360"/>
      </w:pPr>
      <w:r>
        <w:t xml:space="preserve">Verification of the high voltage performance of this filter is a task that must be performed by a qualified LIGO </w:t>
      </w:r>
      <w:r w:rsidR="00637D72">
        <w:t>Electrical Worker as outlined in M1200022.  Work on exposed high voltages (&gt;50VDC) is NOT ALLOWED unless you have been approved for such work by LIGO Management, and have a signed electrical work permit.  Qualified workers can find guidelines for safe work practices on energized gear written in M1400128.</w:t>
      </w:r>
    </w:p>
    <w:p w:rsidR="00637D72" w:rsidRPr="00184B63" w:rsidRDefault="00637D72" w:rsidP="00184B63">
      <w:pPr>
        <w:ind w:firstLine="360"/>
      </w:pPr>
      <w:r>
        <w:t>The transfer function of the filter is measured at low voltages using an SR-785 in the same manner as all LIGO transfer functions are taken.</w:t>
      </w:r>
    </w:p>
    <w:p w:rsidR="00184B63" w:rsidRDefault="00184B63" w:rsidP="002844DA">
      <w:pPr>
        <w:pStyle w:val="Caption"/>
        <w:keepNext/>
        <w:jc w:val="center"/>
        <w:rPr>
          <w:color w:val="000000" w:themeColor="text1"/>
          <w:sz w:val="24"/>
          <w:szCs w:val="24"/>
        </w:rPr>
      </w:pPr>
    </w:p>
    <w:p w:rsidR="002844DA" w:rsidRPr="002844DA" w:rsidRDefault="002844DA" w:rsidP="002844DA">
      <w:pPr>
        <w:pStyle w:val="Caption"/>
        <w:keepNext/>
        <w:jc w:val="center"/>
        <w:rPr>
          <w:color w:val="000000" w:themeColor="text1"/>
          <w:sz w:val="24"/>
          <w:szCs w:val="24"/>
        </w:rPr>
      </w:pPr>
      <w:r w:rsidRPr="002844DA">
        <w:rPr>
          <w:color w:val="000000" w:themeColor="text1"/>
          <w:sz w:val="24"/>
          <w:szCs w:val="24"/>
        </w:rPr>
        <w:t xml:space="preserve">Table </w:t>
      </w:r>
      <w:r w:rsidRPr="002844DA">
        <w:rPr>
          <w:color w:val="000000" w:themeColor="text1"/>
          <w:sz w:val="24"/>
          <w:szCs w:val="24"/>
        </w:rPr>
        <w:fldChar w:fldCharType="begin"/>
      </w:r>
      <w:r w:rsidRPr="002844DA">
        <w:rPr>
          <w:color w:val="000000" w:themeColor="text1"/>
          <w:sz w:val="24"/>
          <w:szCs w:val="24"/>
        </w:rPr>
        <w:instrText xml:space="preserve"> SEQ Table \* ARABIC </w:instrText>
      </w:r>
      <w:r w:rsidRPr="002844DA">
        <w:rPr>
          <w:color w:val="000000" w:themeColor="text1"/>
          <w:sz w:val="24"/>
          <w:szCs w:val="24"/>
        </w:rPr>
        <w:fldChar w:fldCharType="separate"/>
      </w:r>
      <w:r w:rsidR="00085064">
        <w:rPr>
          <w:noProof/>
          <w:color w:val="000000" w:themeColor="text1"/>
          <w:sz w:val="24"/>
          <w:szCs w:val="24"/>
        </w:rPr>
        <w:t>1</w:t>
      </w:r>
      <w:r w:rsidRPr="002844DA">
        <w:rPr>
          <w:color w:val="000000" w:themeColor="text1"/>
          <w:sz w:val="24"/>
          <w:szCs w:val="24"/>
        </w:rPr>
        <w:fldChar w:fldCharType="end"/>
      </w:r>
      <w:r w:rsidR="00846DEF">
        <w:rPr>
          <w:color w:val="000000" w:themeColor="text1"/>
          <w:sz w:val="24"/>
          <w:szCs w:val="24"/>
        </w:rPr>
        <w:t xml:space="preserve"> HV </w:t>
      </w:r>
      <w:r w:rsidR="0007410F">
        <w:rPr>
          <w:color w:val="000000" w:themeColor="text1"/>
          <w:sz w:val="24"/>
          <w:szCs w:val="24"/>
        </w:rPr>
        <w:t>Filter</w:t>
      </w:r>
      <w:r w:rsidR="00846DEF">
        <w:rPr>
          <w:color w:val="000000" w:themeColor="text1"/>
          <w:sz w:val="24"/>
          <w:szCs w:val="24"/>
        </w:rPr>
        <w:t xml:space="preserve"> (D</w:t>
      </w:r>
      <w:r w:rsidR="0007410F">
        <w:rPr>
          <w:color w:val="000000" w:themeColor="text1"/>
          <w:sz w:val="24"/>
          <w:szCs w:val="24"/>
        </w:rPr>
        <w:t>1400192</w:t>
      </w:r>
      <w:r w:rsidR="00846DEF">
        <w:rPr>
          <w:color w:val="000000" w:themeColor="text1"/>
          <w:sz w:val="24"/>
          <w:szCs w:val="24"/>
        </w:rPr>
        <w:t>-v1) Results</w:t>
      </w:r>
    </w:p>
    <w:tbl>
      <w:tblPr>
        <w:tblW w:w="0" w:type="auto"/>
        <w:jc w:val="center"/>
        <w:tblInd w:w="-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2682"/>
        <w:gridCol w:w="1896"/>
      </w:tblGrid>
      <w:tr w:rsidR="002844DA" w:rsidTr="00FB77D0">
        <w:trPr>
          <w:jc w:val="center"/>
        </w:trPr>
        <w:tc>
          <w:tcPr>
            <w:tcW w:w="4399" w:type="dxa"/>
            <w:tcBorders>
              <w:top w:val="nil"/>
              <w:left w:val="nil"/>
            </w:tcBorders>
            <w:shd w:val="clear" w:color="auto" w:fill="auto"/>
            <w:vAlign w:val="center"/>
          </w:tcPr>
          <w:p w:rsidR="002844DA" w:rsidRPr="00F94E01" w:rsidRDefault="002844DA" w:rsidP="006330DE">
            <w:pPr>
              <w:jc w:val="center"/>
              <w:rPr>
                <w:b/>
              </w:rPr>
            </w:pPr>
            <w:r w:rsidRPr="00F94E01">
              <w:rPr>
                <w:b/>
              </w:rPr>
              <w:t>Parameter</w:t>
            </w:r>
          </w:p>
        </w:tc>
        <w:tc>
          <w:tcPr>
            <w:tcW w:w="2682" w:type="dxa"/>
            <w:tcBorders>
              <w:top w:val="nil"/>
            </w:tcBorders>
            <w:shd w:val="clear" w:color="auto" w:fill="auto"/>
            <w:vAlign w:val="center"/>
          </w:tcPr>
          <w:p w:rsidR="002844DA" w:rsidRPr="00F94E01" w:rsidRDefault="002844DA" w:rsidP="006330DE">
            <w:pPr>
              <w:jc w:val="center"/>
              <w:rPr>
                <w:b/>
              </w:rPr>
            </w:pPr>
            <w:r w:rsidRPr="00F94E01">
              <w:rPr>
                <w:b/>
              </w:rPr>
              <w:t>Required Value</w:t>
            </w:r>
          </w:p>
        </w:tc>
        <w:tc>
          <w:tcPr>
            <w:tcW w:w="1896" w:type="dxa"/>
            <w:tcBorders>
              <w:top w:val="nil"/>
              <w:right w:val="nil"/>
            </w:tcBorders>
            <w:shd w:val="clear" w:color="auto" w:fill="auto"/>
            <w:vAlign w:val="center"/>
          </w:tcPr>
          <w:p w:rsidR="002844DA" w:rsidRPr="00F94E01" w:rsidRDefault="002844DA" w:rsidP="006330DE">
            <w:pPr>
              <w:jc w:val="center"/>
              <w:rPr>
                <w:b/>
              </w:rPr>
            </w:pPr>
            <w:r w:rsidRPr="00F94E01">
              <w:rPr>
                <w:b/>
              </w:rPr>
              <w:t>Measured Value</w:t>
            </w:r>
          </w:p>
        </w:tc>
      </w:tr>
      <w:tr w:rsidR="002844DA" w:rsidTr="00FB77D0">
        <w:trPr>
          <w:jc w:val="center"/>
        </w:trPr>
        <w:tc>
          <w:tcPr>
            <w:tcW w:w="4399" w:type="dxa"/>
            <w:tcBorders>
              <w:left w:val="nil"/>
            </w:tcBorders>
            <w:shd w:val="clear" w:color="auto" w:fill="auto"/>
            <w:vAlign w:val="center"/>
          </w:tcPr>
          <w:p w:rsidR="002844DA" w:rsidRPr="00EC1C3A" w:rsidRDefault="00637D72" w:rsidP="00567CCD">
            <w:r>
              <w:t>Operation at +/- 500VDC (+/- 10VDC tolerance)</w:t>
            </w:r>
          </w:p>
        </w:tc>
        <w:tc>
          <w:tcPr>
            <w:tcW w:w="2682" w:type="dxa"/>
            <w:shd w:val="clear" w:color="auto" w:fill="auto"/>
            <w:vAlign w:val="center"/>
          </w:tcPr>
          <w:p w:rsidR="002844DA" w:rsidRPr="00EC1C3A" w:rsidRDefault="00637D72" w:rsidP="006330DE">
            <w:pPr>
              <w:jc w:val="center"/>
            </w:pPr>
            <w:r>
              <w:t>No observed current flow due to arcing or component failure</w:t>
            </w:r>
          </w:p>
        </w:tc>
        <w:tc>
          <w:tcPr>
            <w:tcW w:w="1896" w:type="dxa"/>
            <w:tcBorders>
              <w:right w:val="nil"/>
            </w:tcBorders>
            <w:shd w:val="clear" w:color="auto" w:fill="auto"/>
            <w:vAlign w:val="center"/>
          </w:tcPr>
          <w:p w:rsidR="002844DA" w:rsidRPr="00EC1C3A" w:rsidRDefault="002844DA" w:rsidP="006330DE">
            <w:pPr>
              <w:jc w:val="center"/>
            </w:pPr>
          </w:p>
        </w:tc>
      </w:tr>
      <w:tr w:rsidR="002844DA" w:rsidTr="00FB77D0">
        <w:trPr>
          <w:jc w:val="center"/>
        </w:trPr>
        <w:tc>
          <w:tcPr>
            <w:tcW w:w="4399" w:type="dxa"/>
            <w:tcBorders>
              <w:left w:val="nil"/>
            </w:tcBorders>
            <w:shd w:val="clear" w:color="auto" w:fill="auto"/>
            <w:vAlign w:val="center"/>
          </w:tcPr>
          <w:p w:rsidR="002844DA" w:rsidRDefault="001F7A39" w:rsidP="00567CCD">
            <w:r>
              <w:t>Transfer Function Magnitude at 1 Hz</w:t>
            </w:r>
          </w:p>
        </w:tc>
        <w:tc>
          <w:tcPr>
            <w:tcW w:w="2682" w:type="dxa"/>
            <w:shd w:val="clear" w:color="auto" w:fill="auto"/>
            <w:vAlign w:val="center"/>
          </w:tcPr>
          <w:p w:rsidR="002844DA" w:rsidRDefault="001F7A39" w:rsidP="001F7A39">
            <w:pPr>
              <w:jc w:val="center"/>
            </w:pPr>
            <w:r>
              <w:t>-5.9 dB</w:t>
            </w:r>
            <w:r w:rsidR="002844DA">
              <w:t xml:space="preserve"> +/- </w:t>
            </w:r>
            <w:r w:rsidR="00085064">
              <w:t>0.5 dB</w:t>
            </w:r>
          </w:p>
        </w:tc>
        <w:tc>
          <w:tcPr>
            <w:tcW w:w="1896" w:type="dxa"/>
            <w:tcBorders>
              <w:right w:val="nil"/>
            </w:tcBorders>
            <w:shd w:val="clear" w:color="auto" w:fill="auto"/>
            <w:vAlign w:val="center"/>
          </w:tcPr>
          <w:p w:rsidR="00E1498F" w:rsidRDefault="00E1498F" w:rsidP="006330DE">
            <w:pPr>
              <w:jc w:val="center"/>
            </w:pPr>
          </w:p>
        </w:tc>
      </w:tr>
      <w:tr w:rsidR="001F7A39" w:rsidTr="00FB77D0">
        <w:trPr>
          <w:jc w:val="center"/>
        </w:trPr>
        <w:tc>
          <w:tcPr>
            <w:tcW w:w="4399" w:type="dxa"/>
            <w:tcBorders>
              <w:left w:val="nil"/>
            </w:tcBorders>
            <w:shd w:val="clear" w:color="auto" w:fill="auto"/>
            <w:vAlign w:val="center"/>
          </w:tcPr>
          <w:p w:rsidR="001F7A39" w:rsidRDefault="001F7A39" w:rsidP="001F7A39">
            <w:r>
              <w:t>Transfer Function Phase at 1 Hz</w:t>
            </w:r>
          </w:p>
        </w:tc>
        <w:tc>
          <w:tcPr>
            <w:tcW w:w="2682" w:type="dxa"/>
            <w:shd w:val="clear" w:color="auto" w:fill="auto"/>
            <w:vAlign w:val="center"/>
          </w:tcPr>
          <w:p w:rsidR="001F7A39" w:rsidRDefault="001F7A39" w:rsidP="001F7A39">
            <w:pPr>
              <w:jc w:val="center"/>
            </w:pPr>
            <w:r>
              <w:t>-72.2 deg +/3 deg</w:t>
            </w:r>
          </w:p>
        </w:tc>
        <w:tc>
          <w:tcPr>
            <w:tcW w:w="1896" w:type="dxa"/>
            <w:tcBorders>
              <w:right w:val="nil"/>
            </w:tcBorders>
            <w:shd w:val="clear" w:color="auto" w:fill="auto"/>
            <w:vAlign w:val="center"/>
          </w:tcPr>
          <w:p w:rsidR="001F7A39" w:rsidRDefault="001F7A39" w:rsidP="006330DE">
            <w:pPr>
              <w:jc w:val="center"/>
            </w:pPr>
          </w:p>
        </w:tc>
      </w:tr>
      <w:tr w:rsidR="001F7A39" w:rsidTr="00FB77D0">
        <w:trPr>
          <w:jc w:val="center"/>
        </w:trPr>
        <w:tc>
          <w:tcPr>
            <w:tcW w:w="4399" w:type="dxa"/>
            <w:tcBorders>
              <w:left w:val="nil"/>
            </w:tcBorders>
            <w:shd w:val="clear" w:color="auto" w:fill="auto"/>
            <w:vAlign w:val="center"/>
          </w:tcPr>
          <w:p w:rsidR="001F7A39" w:rsidRDefault="001F7A39" w:rsidP="00B520DE">
            <w:r>
              <w:t>Transfer Function Magnitude at 10 Hz</w:t>
            </w:r>
          </w:p>
        </w:tc>
        <w:tc>
          <w:tcPr>
            <w:tcW w:w="2682" w:type="dxa"/>
            <w:shd w:val="clear" w:color="auto" w:fill="auto"/>
            <w:vAlign w:val="center"/>
          </w:tcPr>
          <w:p w:rsidR="001F7A39" w:rsidRDefault="001F7A39" w:rsidP="001F7A39">
            <w:pPr>
              <w:jc w:val="center"/>
            </w:pPr>
            <w:r>
              <w:t xml:space="preserve">-32.7 dB +/- </w:t>
            </w:r>
            <w:r w:rsidR="00085064">
              <w:t>0.5 dB</w:t>
            </w:r>
          </w:p>
        </w:tc>
        <w:tc>
          <w:tcPr>
            <w:tcW w:w="1896" w:type="dxa"/>
            <w:tcBorders>
              <w:right w:val="nil"/>
            </w:tcBorders>
            <w:shd w:val="clear" w:color="auto" w:fill="auto"/>
            <w:vAlign w:val="center"/>
          </w:tcPr>
          <w:p w:rsidR="001F7A39" w:rsidRDefault="001F7A39" w:rsidP="006330DE">
            <w:pPr>
              <w:jc w:val="center"/>
            </w:pPr>
          </w:p>
        </w:tc>
      </w:tr>
      <w:tr w:rsidR="001F7A39" w:rsidTr="00FB77D0">
        <w:trPr>
          <w:cantSplit/>
          <w:jc w:val="center"/>
        </w:trPr>
        <w:tc>
          <w:tcPr>
            <w:tcW w:w="4399" w:type="dxa"/>
            <w:tcBorders>
              <w:left w:val="nil"/>
            </w:tcBorders>
            <w:shd w:val="clear" w:color="auto" w:fill="auto"/>
            <w:vAlign w:val="center"/>
          </w:tcPr>
          <w:p w:rsidR="001F7A39" w:rsidRDefault="001F7A39" w:rsidP="00B520DE">
            <w:r>
              <w:t>Transfer Function Phase at 10 Hz</w:t>
            </w:r>
          </w:p>
        </w:tc>
        <w:tc>
          <w:tcPr>
            <w:tcW w:w="2682" w:type="dxa"/>
            <w:shd w:val="clear" w:color="auto" w:fill="auto"/>
            <w:vAlign w:val="center"/>
          </w:tcPr>
          <w:p w:rsidR="001F7A39" w:rsidRDefault="001F7A39" w:rsidP="001F7A39">
            <w:pPr>
              <w:jc w:val="center"/>
            </w:pPr>
            <w:r>
              <w:t>-154.0 deg +/3 deg</w:t>
            </w:r>
          </w:p>
        </w:tc>
        <w:tc>
          <w:tcPr>
            <w:tcW w:w="1896" w:type="dxa"/>
            <w:tcBorders>
              <w:right w:val="nil"/>
            </w:tcBorders>
            <w:shd w:val="clear" w:color="auto" w:fill="auto"/>
            <w:vAlign w:val="center"/>
          </w:tcPr>
          <w:p w:rsidR="001F7A39" w:rsidRDefault="001F7A39" w:rsidP="006330DE">
            <w:pPr>
              <w:jc w:val="center"/>
            </w:pPr>
          </w:p>
        </w:tc>
      </w:tr>
      <w:tr w:rsidR="001F7A39" w:rsidTr="00FB77D0">
        <w:trPr>
          <w:cantSplit/>
          <w:jc w:val="center"/>
        </w:trPr>
        <w:tc>
          <w:tcPr>
            <w:tcW w:w="4399" w:type="dxa"/>
            <w:tcBorders>
              <w:left w:val="nil"/>
            </w:tcBorders>
            <w:shd w:val="clear" w:color="auto" w:fill="auto"/>
            <w:vAlign w:val="center"/>
          </w:tcPr>
          <w:p w:rsidR="001F7A39" w:rsidRDefault="001F7A39" w:rsidP="00B520DE">
            <w:r>
              <w:t>Transfer Function Magnitude at 100 Hz</w:t>
            </w:r>
          </w:p>
        </w:tc>
        <w:tc>
          <w:tcPr>
            <w:tcW w:w="2682" w:type="dxa"/>
            <w:shd w:val="clear" w:color="auto" w:fill="auto"/>
            <w:vAlign w:val="center"/>
          </w:tcPr>
          <w:p w:rsidR="001F7A39" w:rsidRDefault="001F7A39" w:rsidP="001F7A39">
            <w:pPr>
              <w:jc w:val="center"/>
            </w:pPr>
            <w:r>
              <w:t xml:space="preserve">-72.0 dB +/- </w:t>
            </w:r>
            <w:r w:rsidR="00085064">
              <w:t>0.5 dB</w:t>
            </w:r>
          </w:p>
        </w:tc>
        <w:tc>
          <w:tcPr>
            <w:tcW w:w="1896" w:type="dxa"/>
            <w:tcBorders>
              <w:right w:val="nil"/>
            </w:tcBorders>
            <w:shd w:val="clear" w:color="auto" w:fill="auto"/>
            <w:vAlign w:val="center"/>
          </w:tcPr>
          <w:p w:rsidR="001F7A39" w:rsidRDefault="001F7A39" w:rsidP="006330DE">
            <w:pPr>
              <w:jc w:val="center"/>
            </w:pPr>
          </w:p>
        </w:tc>
      </w:tr>
      <w:tr w:rsidR="001F7A39" w:rsidTr="00FB77D0">
        <w:trPr>
          <w:cantSplit/>
          <w:jc w:val="center"/>
        </w:trPr>
        <w:tc>
          <w:tcPr>
            <w:tcW w:w="4399" w:type="dxa"/>
            <w:tcBorders>
              <w:left w:val="nil"/>
            </w:tcBorders>
            <w:shd w:val="clear" w:color="auto" w:fill="auto"/>
            <w:vAlign w:val="center"/>
          </w:tcPr>
          <w:p w:rsidR="001F7A39" w:rsidRDefault="001F7A39" w:rsidP="00B520DE">
            <w:r>
              <w:t>Transfer Function Phase at 100 Hz</w:t>
            </w:r>
          </w:p>
        </w:tc>
        <w:tc>
          <w:tcPr>
            <w:tcW w:w="2682" w:type="dxa"/>
            <w:shd w:val="clear" w:color="auto" w:fill="auto"/>
            <w:vAlign w:val="center"/>
          </w:tcPr>
          <w:p w:rsidR="001F7A39" w:rsidRDefault="001F7A39" w:rsidP="001F7A39">
            <w:pPr>
              <w:jc w:val="center"/>
            </w:pPr>
            <w:r>
              <w:t>-177.3 deg +/3 deg</w:t>
            </w:r>
          </w:p>
        </w:tc>
        <w:tc>
          <w:tcPr>
            <w:tcW w:w="1896" w:type="dxa"/>
            <w:tcBorders>
              <w:right w:val="nil"/>
            </w:tcBorders>
            <w:shd w:val="clear" w:color="auto" w:fill="auto"/>
            <w:vAlign w:val="center"/>
          </w:tcPr>
          <w:p w:rsidR="001F7A39" w:rsidRDefault="001F7A39" w:rsidP="006330DE">
            <w:pPr>
              <w:jc w:val="center"/>
            </w:pPr>
          </w:p>
        </w:tc>
      </w:tr>
    </w:tbl>
    <w:p w:rsidR="00C75F70" w:rsidRDefault="00C75F70">
      <w:bookmarkStart w:id="0" w:name="_GoBack"/>
      <w:bookmarkEnd w:id="0"/>
    </w:p>
    <w:sectPr w:rsidR="00C75F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BE" w:rsidRDefault="00222BBE" w:rsidP="002844DA">
      <w:r>
        <w:separator/>
      </w:r>
    </w:p>
  </w:endnote>
  <w:endnote w:type="continuationSeparator" w:id="0">
    <w:p w:rsidR="00222BBE" w:rsidRDefault="00222BBE" w:rsidP="0028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BE" w:rsidRDefault="00222BBE" w:rsidP="002844DA">
      <w:r>
        <w:separator/>
      </w:r>
    </w:p>
  </w:footnote>
  <w:footnote w:type="continuationSeparator" w:id="0">
    <w:p w:rsidR="00222BBE" w:rsidRDefault="00222BBE" w:rsidP="00284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DA" w:rsidRDefault="0007410F">
    <w:pPr>
      <w:pStyle w:val="Header"/>
      <w:jc w:val="right"/>
    </w:pPr>
    <w:r>
      <w:t>T1400568</w:t>
    </w:r>
    <w:r w:rsidR="002844DA">
      <w:t>-v</w:t>
    </w:r>
    <w:r w:rsidR="00085064">
      <w:t>2</w:t>
    </w:r>
    <w:r w:rsidR="002844DA">
      <w:t xml:space="preserve"> Page </w:t>
    </w:r>
    <w:sdt>
      <w:sdtPr>
        <w:id w:val="1834883792"/>
        <w:docPartObj>
          <w:docPartGallery w:val="Page Numbers (Top of Page)"/>
          <w:docPartUnique/>
        </w:docPartObj>
      </w:sdtPr>
      <w:sdtEndPr>
        <w:rPr>
          <w:noProof/>
        </w:rPr>
      </w:sdtEndPr>
      <w:sdtContent>
        <w:r w:rsidR="002844DA">
          <w:fldChar w:fldCharType="begin"/>
        </w:r>
        <w:r w:rsidR="002844DA">
          <w:instrText xml:space="preserve"> PAGE   \* MERGEFORMAT </w:instrText>
        </w:r>
        <w:r w:rsidR="002844DA">
          <w:fldChar w:fldCharType="separate"/>
        </w:r>
        <w:r w:rsidR="00085064">
          <w:rPr>
            <w:noProof/>
          </w:rPr>
          <w:t>1</w:t>
        </w:r>
        <w:r w:rsidR="002844DA">
          <w:rPr>
            <w:noProof/>
          </w:rPr>
          <w:fldChar w:fldCharType="end"/>
        </w:r>
      </w:sdtContent>
    </w:sdt>
  </w:p>
  <w:p w:rsidR="002844DA" w:rsidRDefault="00284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DA"/>
    <w:rsid w:val="00007FA3"/>
    <w:rsid w:val="0007410F"/>
    <w:rsid w:val="00085064"/>
    <w:rsid w:val="000C3337"/>
    <w:rsid w:val="000F41BE"/>
    <w:rsid w:val="001804DB"/>
    <w:rsid w:val="00184B63"/>
    <w:rsid w:val="001F7A39"/>
    <w:rsid w:val="00222BBE"/>
    <w:rsid w:val="002625D3"/>
    <w:rsid w:val="002844DA"/>
    <w:rsid w:val="00305F45"/>
    <w:rsid w:val="003C31CF"/>
    <w:rsid w:val="00433A11"/>
    <w:rsid w:val="004666ED"/>
    <w:rsid w:val="00566F6E"/>
    <w:rsid w:val="00567CCD"/>
    <w:rsid w:val="006330DE"/>
    <w:rsid w:val="00637D72"/>
    <w:rsid w:val="006610BD"/>
    <w:rsid w:val="006E53A2"/>
    <w:rsid w:val="006F4A96"/>
    <w:rsid w:val="007110FE"/>
    <w:rsid w:val="00721C95"/>
    <w:rsid w:val="007D7411"/>
    <w:rsid w:val="00825740"/>
    <w:rsid w:val="00846DEF"/>
    <w:rsid w:val="008F3CE7"/>
    <w:rsid w:val="00927350"/>
    <w:rsid w:val="00A81ECE"/>
    <w:rsid w:val="00A97BAD"/>
    <w:rsid w:val="00AB1576"/>
    <w:rsid w:val="00AB574C"/>
    <w:rsid w:val="00BE26B3"/>
    <w:rsid w:val="00C75F70"/>
    <w:rsid w:val="00D77B33"/>
    <w:rsid w:val="00DF02A3"/>
    <w:rsid w:val="00E07307"/>
    <w:rsid w:val="00E13C8D"/>
    <w:rsid w:val="00E1498F"/>
    <w:rsid w:val="00E816D1"/>
    <w:rsid w:val="00F318A3"/>
    <w:rsid w:val="00F31E2A"/>
    <w:rsid w:val="00FA1F2B"/>
    <w:rsid w:val="00FB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844DA"/>
    <w:pPr>
      <w:spacing w:after="200"/>
    </w:pPr>
    <w:rPr>
      <w:b/>
      <w:bCs/>
      <w:color w:val="4F81BD" w:themeColor="accent1"/>
      <w:sz w:val="18"/>
      <w:szCs w:val="18"/>
    </w:rPr>
  </w:style>
  <w:style w:type="paragraph" w:styleId="Header">
    <w:name w:val="header"/>
    <w:basedOn w:val="Normal"/>
    <w:link w:val="HeaderChar"/>
    <w:uiPriority w:val="99"/>
    <w:unhideWhenUsed/>
    <w:rsid w:val="002844DA"/>
    <w:pPr>
      <w:tabs>
        <w:tab w:val="center" w:pos="4680"/>
        <w:tab w:val="right" w:pos="9360"/>
      </w:tabs>
    </w:pPr>
  </w:style>
  <w:style w:type="character" w:customStyle="1" w:styleId="HeaderChar">
    <w:name w:val="Header Char"/>
    <w:basedOn w:val="DefaultParagraphFont"/>
    <w:link w:val="Header"/>
    <w:uiPriority w:val="99"/>
    <w:rsid w:val="00284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44DA"/>
    <w:pPr>
      <w:tabs>
        <w:tab w:val="center" w:pos="4680"/>
        <w:tab w:val="right" w:pos="9360"/>
      </w:tabs>
    </w:pPr>
  </w:style>
  <w:style w:type="character" w:customStyle="1" w:styleId="FooterChar">
    <w:name w:val="Footer Char"/>
    <w:basedOn w:val="DefaultParagraphFont"/>
    <w:link w:val="Footer"/>
    <w:uiPriority w:val="99"/>
    <w:rsid w:val="002844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74C"/>
    <w:rPr>
      <w:rFonts w:ascii="Tahoma" w:hAnsi="Tahoma" w:cs="Tahoma"/>
      <w:sz w:val="16"/>
      <w:szCs w:val="16"/>
    </w:rPr>
  </w:style>
  <w:style w:type="character" w:customStyle="1" w:styleId="BalloonTextChar">
    <w:name w:val="Balloon Text Char"/>
    <w:basedOn w:val="DefaultParagraphFont"/>
    <w:link w:val="BalloonText"/>
    <w:uiPriority w:val="99"/>
    <w:semiHidden/>
    <w:rsid w:val="00AB574C"/>
    <w:rPr>
      <w:rFonts w:ascii="Tahoma" w:eastAsia="Times New Roman" w:hAnsi="Tahoma" w:cs="Tahoma"/>
      <w:sz w:val="16"/>
      <w:szCs w:val="16"/>
    </w:rPr>
  </w:style>
  <w:style w:type="character" w:styleId="Hyperlink">
    <w:name w:val="Hyperlink"/>
    <w:basedOn w:val="DefaultParagraphFont"/>
    <w:uiPriority w:val="99"/>
    <w:unhideWhenUsed/>
    <w:rsid w:val="00E149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844DA"/>
    <w:pPr>
      <w:spacing w:after="200"/>
    </w:pPr>
    <w:rPr>
      <w:b/>
      <w:bCs/>
      <w:color w:val="4F81BD" w:themeColor="accent1"/>
      <w:sz w:val="18"/>
      <w:szCs w:val="18"/>
    </w:rPr>
  </w:style>
  <w:style w:type="paragraph" w:styleId="Header">
    <w:name w:val="header"/>
    <w:basedOn w:val="Normal"/>
    <w:link w:val="HeaderChar"/>
    <w:uiPriority w:val="99"/>
    <w:unhideWhenUsed/>
    <w:rsid w:val="002844DA"/>
    <w:pPr>
      <w:tabs>
        <w:tab w:val="center" w:pos="4680"/>
        <w:tab w:val="right" w:pos="9360"/>
      </w:tabs>
    </w:pPr>
  </w:style>
  <w:style w:type="character" w:customStyle="1" w:styleId="HeaderChar">
    <w:name w:val="Header Char"/>
    <w:basedOn w:val="DefaultParagraphFont"/>
    <w:link w:val="Header"/>
    <w:uiPriority w:val="99"/>
    <w:rsid w:val="00284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44DA"/>
    <w:pPr>
      <w:tabs>
        <w:tab w:val="center" w:pos="4680"/>
        <w:tab w:val="right" w:pos="9360"/>
      </w:tabs>
    </w:pPr>
  </w:style>
  <w:style w:type="character" w:customStyle="1" w:styleId="FooterChar">
    <w:name w:val="Footer Char"/>
    <w:basedOn w:val="DefaultParagraphFont"/>
    <w:link w:val="Footer"/>
    <w:uiPriority w:val="99"/>
    <w:rsid w:val="002844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74C"/>
    <w:rPr>
      <w:rFonts w:ascii="Tahoma" w:hAnsi="Tahoma" w:cs="Tahoma"/>
      <w:sz w:val="16"/>
      <w:szCs w:val="16"/>
    </w:rPr>
  </w:style>
  <w:style w:type="character" w:customStyle="1" w:styleId="BalloonTextChar">
    <w:name w:val="Balloon Text Char"/>
    <w:basedOn w:val="DefaultParagraphFont"/>
    <w:link w:val="BalloonText"/>
    <w:uiPriority w:val="99"/>
    <w:semiHidden/>
    <w:rsid w:val="00AB574C"/>
    <w:rPr>
      <w:rFonts w:ascii="Tahoma" w:eastAsia="Times New Roman" w:hAnsi="Tahoma" w:cs="Tahoma"/>
      <w:sz w:val="16"/>
      <w:szCs w:val="16"/>
    </w:rPr>
  </w:style>
  <w:style w:type="character" w:styleId="Hyperlink">
    <w:name w:val="Hyperlink"/>
    <w:basedOn w:val="DefaultParagraphFont"/>
    <w:uiPriority w:val="99"/>
    <w:unhideWhenUsed/>
    <w:rsid w:val="00E14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Abbott</dc:creator>
  <cp:lastModifiedBy>Rich Abbott</cp:lastModifiedBy>
  <cp:revision>2</cp:revision>
  <cp:lastPrinted>2014-08-29T20:01:00Z</cp:lastPrinted>
  <dcterms:created xsi:type="dcterms:W3CDTF">2014-08-29T21:24:00Z</dcterms:created>
  <dcterms:modified xsi:type="dcterms:W3CDTF">2014-08-29T21:24:00Z</dcterms:modified>
</cp:coreProperties>
</file>