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629C075" w14:textId="77777777" w:rsidR="00753F77" w:rsidRDefault="00212A33">
      <w:pPr>
        <w:pStyle w:val="Header"/>
        <w:tabs>
          <w:tab w:val="clear" w:pos="4320"/>
          <w:tab w:val="clear" w:pos="8640"/>
        </w:tabs>
      </w:pPr>
      <w:r>
        <w:rPr>
          <w:noProof/>
        </w:rPr>
        <mc:AlternateContent>
          <mc:Choice Requires="wpg">
            <w:drawing>
              <wp:anchor distT="0" distB="0" distL="114300" distR="114300" simplePos="0" relativeHeight="251657728" behindDoc="0" locked="0" layoutInCell="1" allowOverlap="1" wp14:anchorId="2BB0080D" wp14:editId="1B31A414">
                <wp:simplePos x="0" y="0"/>
                <wp:positionH relativeFrom="column">
                  <wp:posOffset>-862965</wp:posOffset>
                </wp:positionH>
                <wp:positionV relativeFrom="paragraph">
                  <wp:posOffset>-687705</wp:posOffset>
                </wp:positionV>
                <wp:extent cx="2400300" cy="1092200"/>
                <wp:effectExtent l="0" t="0" r="0" b="0"/>
                <wp:wrapNone/>
                <wp:docPr id="1"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0300" cy="1092200"/>
                          <a:chOff x="441" y="364"/>
                          <a:chExt cx="3780" cy="1720"/>
                        </a:xfrm>
                      </wpg:grpSpPr>
                      <wps:wsp>
                        <wps:cNvPr id="3" name="Text Box 18"/>
                        <wps:cNvSpPr txBox="1">
                          <a:spLocks noChangeArrowheads="1"/>
                        </wps:cNvSpPr>
                        <wps:spPr bwMode="auto">
                          <a:xfrm>
                            <a:off x="441" y="364"/>
                            <a:ext cx="2304" cy="1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4B2E8C" w14:textId="77777777" w:rsidR="00054B9B" w:rsidRDefault="00054B9B">
                              <w:r>
                                <w:rPr>
                                  <w:noProof/>
                                </w:rPr>
                                <w:drawing>
                                  <wp:inline distT="0" distB="0" distL="0" distR="0" wp14:anchorId="36AA3418" wp14:editId="3A9D4AA5">
                                    <wp:extent cx="1270000" cy="955040"/>
                                    <wp:effectExtent l="0" t="0" r="0" b="10160"/>
                                    <wp:docPr id="2" name="Picture 2" descr="Ligo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go_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70000" cy="95504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4" name="Text Box 19"/>
                        <wps:cNvSpPr txBox="1">
                          <a:spLocks noChangeArrowheads="1"/>
                        </wps:cNvSpPr>
                        <wps:spPr bwMode="auto">
                          <a:xfrm>
                            <a:off x="2601" y="544"/>
                            <a:ext cx="1620"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B1E12B" w14:textId="77777777" w:rsidR="00054B9B" w:rsidRDefault="00054B9B"/>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 o:spid="_x0000_s1026" style="position:absolute;margin-left:-67.9pt;margin-top:-54.1pt;width:189pt;height:86pt;z-index:251657728" coordorigin="441,364" coordsize="3780,172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">
                <v:shapetype id="_x0000_t202" coordsize="21600,21600" o:spt="202" path="m0,0l0,21600,21600,21600,21600,0xe">
                  <v:stroke joinstyle="miter"/>
                  <v:path gradientshapeok="t" o:connecttype="rect"/>
                </v:shapetype>
                <v:shape id="Text Box 18" o:spid="_x0000_s1027" type="#_x0000_t202" style="position:absolute;left:441;top:364;width:2304;height:1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3wizwwAA&#10;ANoAAAAPAAAAZHJzL2Rvd25yZXYueG1sRI9Ba8JAFITvBf/D8oTedNfWlhqzkaIInixNW8HbI/tM&#10;gtm3Ibua9N93BaHHYWa+YdLVYBtxpc7XjjXMpgoEceFMzaWG76/t5A2ED8gGG8ek4Zc8rLLRQ4qJ&#10;cT1/0jUPpYgQ9glqqEJoEyl9UZFFP3UtcfROrrMYouxKaTrsI9w28kmpV2mx5rhQYUvriopzfrEa&#10;fvan42GuPsqNfWl7NyjJdiG1fhwP70sQgYbwH763d0bDM9yuxBsgsz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V3wizwwAAANoAAAAPAAAAAAAAAAAAAAAAAJcCAABkcnMvZG93&#10;bnJldi54bWxQSwUGAAAAAAQABAD1AAAAhwMAAAAA&#10;" filled="f" stroked="f">
                  <v:textbox>
                    <w:txbxContent>
                      <w:p w14:paraId="164B2E8C" w14:textId="77777777" w:rsidR="00054B9B" w:rsidRDefault="00054B9B">
                        <w:r>
                          <w:rPr>
                            <w:noProof/>
                          </w:rPr>
                          <w:drawing>
                            <wp:inline distT="0" distB="0" distL="0" distR="0" wp14:anchorId="36AA3418" wp14:editId="3A9D4AA5">
                              <wp:extent cx="1270000" cy="955040"/>
                              <wp:effectExtent l="0" t="0" r="0" b="10160"/>
                              <wp:docPr id="2" name="Picture 2" descr="Ligo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go_Log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70000" cy="955040"/>
                                      </a:xfrm>
                                      <a:prstGeom prst="rect">
                                        <a:avLst/>
                                      </a:prstGeom>
                                      <a:noFill/>
                                      <a:ln>
                                        <a:noFill/>
                                      </a:ln>
                                    </pic:spPr>
                                  </pic:pic>
                                </a:graphicData>
                              </a:graphic>
                            </wp:inline>
                          </w:drawing>
                        </w:r>
                      </w:p>
                    </w:txbxContent>
                  </v:textbox>
                </v:shape>
                <v:shape id="Text Box 19" o:spid="_x0000_s1028" type="#_x0000_t202" style="position:absolute;left:2601;top:544;width:1620;height:14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" filled="f" stroked="f">
                  <v:textbox>
                    <w:txbxContent>
                      <w:p w14:paraId="48B1E12B" w14:textId="77777777" w:rsidR="00054B9B" w:rsidRDefault="00054B9B"/>
                    </w:txbxContent>
                  </v:textbox>
                </v:shape>
              </v:group>
            </w:pict>
          </mc:Fallback>
        </mc:AlternateContent>
      </w:r>
      <w:r w:rsidR="003C6EE5">
        <w:tab/>
      </w:r>
      <w:r w:rsidR="003C6EE5">
        <w:tab/>
      </w:r>
      <w:r w:rsidR="003C6EE5">
        <w:tab/>
      </w:r>
      <w:r w:rsidR="003C6EE5">
        <w:tab/>
      </w:r>
      <w:r w:rsidR="003C6EE5">
        <w:tab/>
      </w:r>
      <w:r w:rsidR="003C6EE5">
        <w:tab/>
      </w:r>
      <w:r w:rsidR="003C6EE5">
        <w:tab/>
      </w:r>
    </w:p>
    <w:tbl>
      <w:tblPr>
        <w:tblW w:w="3600" w:type="dxa"/>
        <w:tblInd w:w="5778" w:type="dxa"/>
        <w:tblLook w:val="0000" w:firstRow="0" w:lastRow="0" w:firstColumn="0" w:lastColumn="0" w:noHBand="0" w:noVBand="0"/>
      </w:tblPr>
      <w:tblGrid>
        <w:gridCol w:w="1170"/>
        <w:gridCol w:w="2430"/>
      </w:tblGrid>
      <w:tr w:rsidR="00753F77" w14:paraId="59230312" w14:textId="77777777">
        <w:trPr>
          <w:trHeight w:val="314"/>
        </w:trPr>
        <w:tc>
          <w:tcPr>
            <w:tcW w:w="1170" w:type="dxa"/>
            <w:vAlign w:val="center"/>
          </w:tcPr>
          <w:p w14:paraId="5AC8FC94" w14:textId="77777777" w:rsidR="00753F77" w:rsidRPr="00570F0A" w:rsidRDefault="003C6EE5">
            <w:pPr>
              <w:jc w:val="right"/>
              <w:rPr>
                <w:sz w:val="24"/>
                <w:szCs w:val="24"/>
              </w:rPr>
            </w:pPr>
            <w:r w:rsidRPr="00570F0A">
              <w:rPr>
                <w:sz w:val="24"/>
                <w:szCs w:val="24"/>
              </w:rPr>
              <w:t>Date:</w:t>
            </w:r>
          </w:p>
        </w:tc>
        <w:tc>
          <w:tcPr>
            <w:tcW w:w="2430" w:type="dxa"/>
            <w:vAlign w:val="center"/>
          </w:tcPr>
          <w:p w14:paraId="6B8E9CD2" w14:textId="77777777" w:rsidR="00753F77" w:rsidRPr="00570F0A" w:rsidRDefault="003C6EE5">
            <w:pPr>
              <w:pStyle w:val="Style1"/>
              <w:rPr>
                <w:rFonts w:ascii="Times New Roman" w:hAnsi="Times New Roman"/>
                <w:szCs w:val="24"/>
              </w:rPr>
            </w:pPr>
            <w:r w:rsidRPr="00570F0A">
              <w:rPr>
                <w:rFonts w:ascii="Times New Roman" w:hAnsi="Times New Roman"/>
                <w:szCs w:val="24"/>
              </w:rPr>
              <w:fldChar w:fldCharType="begin"/>
            </w:r>
            <w:r w:rsidRPr="00570F0A">
              <w:rPr>
                <w:rFonts w:ascii="Times New Roman" w:hAnsi="Times New Roman"/>
                <w:szCs w:val="24"/>
              </w:rPr>
              <w:instrText xml:space="preserve"> TIME \@ "MMMM d, yyyy" </w:instrText>
            </w:r>
            <w:r w:rsidRPr="00570F0A">
              <w:rPr>
                <w:rFonts w:ascii="Times New Roman" w:hAnsi="Times New Roman"/>
                <w:szCs w:val="24"/>
              </w:rPr>
              <w:fldChar w:fldCharType="separate"/>
            </w:r>
            <w:r w:rsidR="00077F03">
              <w:rPr>
                <w:rFonts w:ascii="Times New Roman" w:hAnsi="Times New Roman"/>
                <w:noProof/>
                <w:szCs w:val="24"/>
              </w:rPr>
              <w:t>October 18, 2014</w:t>
            </w:r>
            <w:r w:rsidRPr="00570F0A">
              <w:rPr>
                <w:rFonts w:ascii="Times New Roman" w:hAnsi="Times New Roman"/>
                <w:szCs w:val="24"/>
              </w:rPr>
              <w:fldChar w:fldCharType="end"/>
            </w:r>
          </w:p>
        </w:tc>
      </w:tr>
      <w:tr w:rsidR="00753F77" w14:paraId="338C1185" w14:textId="77777777">
        <w:trPr>
          <w:trHeight w:val="332"/>
        </w:trPr>
        <w:tc>
          <w:tcPr>
            <w:tcW w:w="1170" w:type="dxa"/>
            <w:vAlign w:val="center"/>
          </w:tcPr>
          <w:p w14:paraId="2F39C133" w14:textId="4F4FE76E" w:rsidR="00753F77" w:rsidRPr="00570F0A" w:rsidRDefault="00026B7B">
            <w:pPr>
              <w:jc w:val="right"/>
              <w:rPr>
                <w:sz w:val="24"/>
                <w:szCs w:val="24"/>
              </w:rPr>
            </w:pPr>
            <w:r w:rsidRPr="00570F0A">
              <w:rPr>
                <w:sz w:val="24"/>
                <w:szCs w:val="24"/>
              </w:rPr>
              <w:t>Refer to</w:t>
            </w:r>
            <w:r w:rsidR="003C6EE5" w:rsidRPr="00570F0A">
              <w:rPr>
                <w:sz w:val="24"/>
                <w:szCs w:val="24"/>
              </w:rPr>
              <w:t>:</w:t>
            </w:r>
          </w:p>
        </w:tc>
        <w:tc>
          <w:tcPr>
            <w:tcW w:w="2430" w:type="dxa"/>
            <w:vAlign w:val="center"/>
          </w:tcPr>
          <w:p w14:paraId="55B59E70" w14:textId="26E72E57" w:rsidR="00753F77" w:rsidRPr="00570F0A" w:rsidRDefault="00917F3B" w:rsidP="007B7F9C">
            <w:pPr>
              <w:rPr>
                <w:b/>
                <w:sz w:val="24"/>
                <w:szCs w:val="24"/>
              </w:rPr>
            </w:pPr>
            <w:r w:rsidRPr="00570F0A">
              <w:rPr>
                <w:b/>
                <w:sz w:val="24"/>
                <w:szCs w:val="24"/>
              </w:rPr>
              <w:t>LIGO-</w:t>
            </w:r>
            <w:r w:rsidR="00EA3304" w:rsidRPr="00570F0A">
              <w:rPr>
                <w:b/>
                <w:bCs/>
                <w:sz w:val="24"/>
                <w:szCs w:val="24"/>
              </w:rPr>
              <w:t>T1400667</w:t>
            </w:r>
            <w:r w:rsidR="003C6EE5" w:rsidRPr="00570F0A">
              <w:rPr>
                <w:b/>
                <w:color w:val="333333"/>
                <w:sz w:val="24"/>
                <w:szCs w:val="24"/>
              </w:rPr>
              <w:t>-v</w:t>
            </w:r>
            <w:r w:rsidR="009D5E4E" w:rsidRPr="00570F0A">
              <w:rPr>
                <w:b/>
                <w:color w:val="333333"/>
                <w:sz w:val="24"/>
                <w:szCs w:val="24"/>
              </w:rPr>
              <w:t>1</w:t>
            </w:r>
          </w:p>
        </w:tc>
      </w:tr>
    </w:tbl>
    <w:p w14:paraId="259D7692" w14:textId="77777777" w:rsidR="00753F77" w:rsidRDefault="00753F77">
      <w:pPr>
        <w:rPr>
          <w:rFonts w:ascii="Arial" w:hAnsi="Arial"/>
          <w:sz w:val="24"/>
        </w:rPr>
      </w:pPr>
    </w:p>
    <w:p w14:paraId="2F453BCA" w14:textId="77777777" w:rsidR="007B7F9C" w:rsidRDefault="007B7F9C" w:rsidP="007B7F9C">
      <w:pPr>
        <w:rPr>
          <w:rFonts w:ascii="Times" w:hAnsi="Times"/>
          <w:sz w:val="24"/>
        </w:rPr>
      </w:pPr>
      <w:r>
        <w:rPr>
          <w:rFonts w:ascii="Times" w:hAnsi="Times"/>
          <w:sz w:val="24"/>
        </w:rPr>
        <w:t>From:</w:t>
      </w:r>
      <w:r>
        <w:rPr>
          <w:rFonts w:ascii="Times" w:hAnsi="Times"/>
          <w:sz w:val="24"/>
        </w:rPr>
        <w:tab/>
      </w:r>
      <w:r>
        <w:rPr>
          <w:rFonts w:ascii="Times" w:hAnsi="Times"/>
          <w:sz w:val="24"/>
        </w:rPr>
        <w:fldChar w:fldCharType="begin"/>
      </w:r>
      <w:r>
        <w:rPr>
          <w:rFonts w:ascii="Times" w:hAnsi="Times"/>
          <w:sz w:val="24"/>
        </w:rPr>
        <w:instrText xml:space="preserve"> CONTACT _Con-438ABEED1 \c \s \l </w:instrText>
      </w:r>
      <w:r>
        <w:rPr>
          <w:rFonts w:ascii="Times" w:hAnsi="Times"/>
          <w:sz w:val="24"/>
        </w:rPr>
        <w:fldChar w:fldCharType="separate"/>
      </w:r>
      <w:r>
        <w:rPr>
          <w:rFonts w:ascii="Times" w:hAnsi="Times"/>
          <w:noProof/>
          <w:sz w:val="24"/>
        </w:rPr>
        <w:t>M. Zucker</w:t>
      </w:r>
      <w:r>
        <w:rPr>
          <w:rFonts w:ascii="Times" w:hAnsi="Times"/>
          <w:sz w:val="24"/>
        </w:rPr>
        <w:fldChar w:fldCharType="end"/>
      </w:r>
      <w:r>
        <w:rPr>
          <w:rFonts w:ascii="Times" w:hAnsi="Times"/>
          <w:sz w:val="24"/>
        </w:rPr>
        <w:t xml:space="preserve"> </w:t>
      </w:r>
    </w:p>
    <w:p w14:paraId="3F9A52E3" w14:textId="18F39DF9" w:rsidR="007B7F9C" w:rsidRDefault="00691EB6">
      <w:pPr>
        <w:rPr>
          <w:rFonts w:ascii="Times" w:hAnsi="Times"/>
          <w:sz w:val="24"/>
        </w:rPr>
      </w:pPr>
      <w:r>
        <w:rPr>
          <w:rFonts w:ascii="Times" w:hAnsi="Times"/>
          <w:sz w:val="24"/>
        </w:rPr>
        <w:t xml:space="preserve">To: </w:t>
      </w:r>
      <w:r>
        <w:rPr>
          <w:rFonts w:ascii="Times" w:hAnsi="Times"/>
          <w:sz w:val="24"/>
        </w:rPr>
        <w:tab/>
      </w:r>
      <w:r w:rsidR="00570F0A">
        <w:rPr>
          <w:rFonts w:ascii="Times" w:hAnsi="Times"/>
          <w:sz w:val="24"/>
        </w:rPr>
        <w:t>VRB</w:t>
      </w:r>
    </w:p>
    <w:p w14:paraId="0E136E02" w14:textId="5500274E" w:rsidR="007B7F9C" w:rsidRDefault="007B7F9C">
      <w:pPr>
        <w:rPr>
          <w:rFonts w:ascii="Times" w:hAnsi="Times"/>
          <w:sz w:val="24"/>
        </w:rPr>
      </w:pPr>
      <w:r>
        <w:rPr>
          <w:rFonts w:ascii="Times" w:hAnsi="Times"/>
          <w:sz w:val="24"/>
        </w:rPr>
        <w:t xml:space="preserve">cc: </w:t>
      </w:r>
      <w:r>
        <w:rPr>
          <w:rFonts w:ascii="Times" w:hAnsi="Times"/>
          <w:sz w:val="24"/>
        </w:rPr>
        <w:tab/>
        <w:t>H. Overmier, K. Ryan, J. Giaime, R. Oram</w:t>
      </w:r>
    </w:p>
    <w:p w14:paraId="5CE79853" w14:textId="0630D518" w:rsidR="00753F77" w:rsidRDefault="003C6EE5">
      <w:pPr>
        <w:ind w:left="720" w:hanging="720"/>
        <w:rPr>
          <w:rFonts w:ascii="Arial" w:hAnsi="Arial"/>
          <w:sz w:val="24"/>
        </w:rPr>
      </w:pPr>
      <w:r>
        <w:rPr>
          <w:rFonts w:ascii="Times" w:hAnsi="Times"/>
          <w:sz w:val="24"/>
        </w:rPr>
        <w:t xml:space="preserve">Re: </w:t>
      </w:r>
      <w:r>
        <w:rPr>
          <w:rFonts w:ascii="Times" w:hAnsi="Times"/>
          <w:sz w:val="24"/>
        </w:rPr>
        <w:tab/>
      </w:r>
      <w:r w:rsidR="00EA3304">
        <w:rPr>
          <w:rFonts w:ascii="Times" w:hAnsi="Times"/>
          <w:b/>
          <w:sz w:val="24"/>
        </w:rPr>
        <w:t>P</w:t>
      </w:r>
      <w:r w:rsidR="007B7F9C">
        <w:rPr>
          <w:rFonts w:ascii="Times" w:hAnsi="Times"/>
          <w:b/>
          <w:sz w:val="24"/>
        </w:rPr>
        <w:t xml:space="preserve">ost-repair </w:t>
      </w:r>
      <w:r w:rsidR="008F48D2">
        <w:rPr>
          <w:rFonts w:ascii="Times" w:hAnsi="Times"/>
          <w:b/>
          <w:sz w:val="24"/>
        </w:rPr>
        <w:t xml:space="preserve">LLO Y </w:t>
      </w:r>
      <w:r w:rsidR="00EA3304">
        <w:rPr>
          <w:rFonts w:ascii="Times" w:hAnsi="Times"/>
          <w:b/>
          <w:sz w:val="24"/>
        </w:rPr>
        <w:t xml:space="preserve">beamtube leak rate </w:t>
      </w:r>
      <w:r w:rsidR="007B7F9C">
        <w:rPr>
          <w:rFonts w:ascii="Times" w:hAnsi="Times"/>
          <w:b/>
          <w:sz w:val="24"/>
        </w:rPr>
        <w:t>(preliminary)</w:t>
      </w:r>
    </w:p>
    <w:p w14:paraId="0DE9E989" w14:textId="77777777" w:rsidR="00753F77" w:rsidRDefault="00753F77">
      <w:pPr>
        <w:pStyle w:val="RegPara"/>
      </w:pPr>
    </w:p>
    <w:p w14:paraId="08BE3A2C" w14:textId="48338252" w:rsidR="007B7F9C" w:rsidRDefault="00917F3B" w:rsidP="007B7F9C">
      <w:pPr>
        <w:pStyle w:val="RegPara"/>
        <w:jc w:val="both"/>
      </w:pPr>
      <w:r>
        <w:rPr>
          <w:b/>
        </w:rPr>
        <w:t>Abstract:</w:t>
      </w:r>
      <w:r w:rsidR="00D016AA">
        <w:t xml:space="preserve"> The air </w:t>
      </w:r>
      <w:r w:rsidR="00D04A86">
        <w:t>leakage</w:t>
      </w:r>
      <w:r w:rsidR="00F07132">
        <w:t xml:space="preserve"> into the </w:t>
      </w:r>
      <w:r w:rsidR="007B7F9C">
        <w:t xml:space="preserve">LLO Y beamtube declined </w:t>
      </w:r>
      <w:r w:rsidR="00930903">
        <w:t>sharp</w:t>
      </w:r>
      <w:r w:rsidR="007B7F9C">
        <w:t xml:space="preserve">ly after we evacuated the </w:t>
      </w:r>
      <w:r w:rsidR="00EA3304">
        <w:t>cap over</w:t>
      </w:r>
      <w:r w:rsidR="007B7F9C">
        <w:t xml:space="preserve"> the stem of GV7 on 13 October. W</w:t>
      </w:r>
      <w:r w:rsidR="00501AB7">
        <w:t xml:space="preserve">ith the dominant </w:t>
      </w:r>
      <w:r w:rsidR="00930903">
        <w:t xml:space="preserve">air </w:t>
      </w:r>
      <w:r w:rsidR="00501AB7">
        <w:t>source removed, w</w:t>
      </w:r>
      <w:r w:rsidR="007B7F9C">
        <w:t xml:space="preserve">e now </w:t>
      </w:r>
      <w:r w:rsidR="00501AB7">
        <w:t>want to know</w:t>
      </w:r>
      <w:r w:rsidR="007B7F9C">
        <w:t xml:space="preserve"> if there</w:t>
      </w:r>
      <w:r w:rsidR="00D04A86">
        <w:t xml:space="preserve"> i</w:t>
      </w:r>
      <w:r w:rsidR="007B7F9C">
        <w:t xml:space="preserve">s any residual leakage </w:t>
      </w:r>
      <w:r w:rsidR="00501AB7">
        <w:t>elsewhere</w:t>
      </w:r>
      <w:r w:rsidR="007B7F9C">
        <w:t xml:space="preserve">. </w:t>
      </w:r>
    </w:p>
    <w:p w14:paraId="63507F73" w14:textId="77777777" w:rsidR="007B7F9C" w:rsidRDefault="007B7F9C" w:rsidP="007B7F9C">
      <w:pPr>
        <w:pStyle w:val="RegPara"/>
        <w:jc w:val="both"/>
      </w:pPr>
    </w:p>
    <w:p w14:paraId="19D99DEF" w14:textId="64F48C43" w:rsidR="007B7F9C" w:rsidRDefault="00930903" w:rsidP="007B7F9C">
      <w:pPr>
        <w:pStyle w:val="RegPara"/>
        <w:jc w:val="both"/>
      </w:pPr>
      <w:r>
        <w:t>An opportunistic</w:t>
      </w:r>
      <w:r w:rsidR="007B7F9C">
        <w:t xml:space="preserve"> </w:t>
      </w:r>
      <w:r w:rsidR="008F48D2">
        <w:t>accumulation perform</w:t>
      </w:r>
      <w:r w:rsidR="003616C3">
        <w:t>e</w:t>
      </w:r>
      <w:r w:rsidR="008F48D2">
        <w:t xml:space="preserve">d </w:t>
      </w:r>
      <w:r w:rsidR="007B7F9C">
        <w:t>while the tube remained closed, 2-</w:t>
      </w:r>
      <w:r w:rsidR="0001263D">
        <w:t>4</w:t>
      </w:r>
      <w:r w:rsidR="007B7F9C">
        <w:t xml:space="preserve"> days after the repair, gives a rough upper limit </w:t>
      </w:r>
      <w:r w:rsidR="007B7F9C" w:rsidRPr="007B7F9C">
        <w:rPr>
          <w:i/>
        </w:rPr>
        <w:t>Q</w:t>
      </w:r>
      <w:r w:rsidR="007B7F9C" w:rsidRPr="007B7F9C">
        <w:rPr>
          <w:i/>
          <w:vertAlign w:val="subscript"/>
        </w:rPr>
        <w:t>leak</w:t>
      </w:r>
      <w:r w:rsidR="007B7F9C" w:rsidRPr="007B7F9C">
        <w:rPr>
          <w:i/>
        </w:rPr>
        <w:t xml:space="preserve"> </w:t>
      </w:r>
      <w:r w:rsidR="007B7F9C">
        <w:t xml:space="preserve"> &lt; </w:t>
      </w:r>
      <w:r w:rsidR="00D64D76">
        <w:t xml:space="preserve">5 x </w:t>
      </w:r>
      <w:r w:rsidR="007916F9">
        <w:t>10</w:t>
      </w:r>
      <w:r w:rsidR="007916F9" w:rsidRPr="007916F9">
        <w:rPr>
          <w:vertAlign w:val="superscript"/>
        </w:rPr>
        <w:t>-</w:t>
      </w:r>
      <w:r w:rsidR="00D64D76">
        <w:rPr>
          <w:vertAlign w:val="superscript"/>
        </w:rPr>
        <w:t>7</w:t>
      </w:r>
      <w:r w:rsidR="007916F9">
        <w:t xml:space="preserve"> Tl/s</w:t>
      </w:r>
      <w:r w:rsidR="00D04A86">
        <w:t xml:space="preserve"> (</w:t>
      </w:r>
      <w:bookmarkStart w:id="0" w:name="_GoBack"/>
      <w:bookmarkEnd w:id="0"/>
      <w:r w:rsidR="00D04A86">
        <w:t>1% of the previous</w:t>
      </w:r>
      <w:r w:rsidR="00077F03">
        <w:t xml:space="preserve"> rate</w:t>
      </w:r>
      <w:r w:rsidR="00D04A86">
        <w:t xml:space="preserve">), </w:t>
      </w:r>
      <w:r w:rsidR="00501AB7">
        <w:t xml:space="preserve">evidently </w:t>
      </w:r>
      <w:r w:rsidR="007B7F9C">
        <w:t>consistent with zero.  However, about 3x10</w:t>
      </w:r>
      <w:r w:rsidR="007B7F9C" w:rsidRPr="007B7F9C">
        <w:rPr>
          <w:vertAlign w:val="superscript"/>
        </w:rPr>
        <w:t>-7</w:t>
      </w:r>
      <w:r w:rsidR="007916F9">
        <w:t xml:space="preserve"> Torr </w:t>
      </w:r>
      <w:r w:rsidR="007B7F9C">
        <w:t xml:space="preserve">of </w:t>
      </w:r>
      <w:r w:rsidR="00D04A86">
        <w:t xml:space="preserve">static </w:t>
      </w:r>
      <w:r w:rsidR="007B7F9C">
        <w:t xml:space="preserve">air remained in the tube after the repair, limiting </w:t>
      </w:r>
      <w:r w:rsidR="00EA3304">
        <w:t xml:space="preserve">the test's </w:t>
      </w:r>
      <w:r w:rsidR="00501AB7">
        <w:t>sensitivity</w:t>
      </w:r>
      <w:r w:rsidR="007B7F9C">
        <w:t xml:space="preserve">. </w:t>
      </w:r>
      <w:r w:rsidR="007916F9">
        <w:t>T</w:t>
      </w:r>
      <w:r w:rsidR="00E6693C">
        <w:t xml:space="preserve">his arises </w:t>
      </w:r>
      <w:r w:rsidR="00EA3304">
        <w:t xml:space="preserve">partly </w:t>
      </w:r>
      <w:r w:rsidR="00E6693C">
        <w:t>from the unknown rate</w:t>
      </w:r>
      <w:r w:rsidR="001C10D1">
        <w:t xml:space="preserve">s of self-pumping by the pressure </w:t>
      </w:r>
      <w:r w:rsidR="00E6693C">
        <w:t xml:space="preserve">instruments, </w:t>
      </w:r>
      <w:r w:rsidR="00D016AA">
        <w:t xml:space="preserve">which </w:t>
      </w:r>
      <w:r w:rsidR="00244CE6">
        <w:t>contribute significantly</w:t>
      </w:r>
      <w:r w:rsidR="00E6693C">
        <w:t xml:space="preserve"> at </w:t>
      </w:r>
      <w:r w:rsidR="00501AB7">
        <w:t>high</w:t>
      </w:r>
      <w:r w:rsidR="00E6693C">
        <w:t xml:space="preserve"> mean pressure.</w:t>
      </w:r>
    </w:p>
    <w:p w14:paraId="4A237178" w14:textId="77777777" w:rsidR="007B7F9C" w:rsidRDefault="007B7F9C" w:rsidP="007B7F9C">
      <w:pPr>
        <w:pStyle w:val="RegPara"/>
        <w:jc w:val="both"/>
      </w:pPr>
    </w:p>
    <w:p w14:paraId="7FFC579F" w14:textId="4991C7A1" w:rsidR="003613A8" w:rsidRDefault="00244CE6" w:rsidP="007B7F9C">
      <w:pPr>
        <w:pStyle w:val="RegPara"/>
        <w:jc w:val="both"/>
      </w:pPr>
      <w:r>
        <w:t xml:space="preserve">Readings from </w:t>
      </w:r>
      <w:r w:rsidR="00501AB7">
        <w:t xml:space="preserve">the </w:t>
      </w:r>
      <w:r w:rsidR="007B7F9C">
        <w:t xml:space="preserve">8 cold-cathode discharge gauges distributed along the </w:t>
      </w:r>
      <w:r w:rsidR="00F07132">
        <w:t>beam</w:t>
      </w:r>
      <w:r w:rsidR="00EA3304">
        <w:t xml:space="preserve">tube were </w:t>
      </w:r>
      <w:r w:rsidR="00F07132">
        <w:t xml:space="preserve">inconsistent with </w:t>
      </w:r>
      <w:r w:rsidR="000A1BC1">
        <w:t xml:space="preserve">readings from </w:t>
      </w:r>
      <w:r w:rsidR="00501AB7">
        <w:t>the</w:t>
      </w:r>
      <w:r w:rsidR="00F07132">
        <w:t xml:space="preserve"> RGA</w:t>
      </w:r>
      <w:r w:rsidR="007B7F9C">
        <w:t xml:space="preserve"> monitoring the tube midpoint. </w:t>
      </w:r>
      <w:r>
        <w:t>The gauge</w:t>
      </w:r>
      <w:r w:rsidR="007B7F9C">
        <w:t xml:space="preserve"> data</w:t>
      </w:r>
      <w:r w:rsidR="000A1BC1">
        <w:t>'s</w:t>
      </w:r>
      <w:r w:rsidR="007B7F9C">
        <w:t xml:space="preserve"> </w:t>
      </w:r>
      <w:r>
        <w:t>derivative was</w:t>
      </w:r>
      <w:r w:rsidR="007B7F9C">
        <w:t xml:space="preserve"> also </w:t>
      </w:r>
      <w:r w:rsidR="00CB1CDF">
        <w:t xml:space="preserve">physically </w:t>
      </w:r>
      <w:r w:rsidR="007B7F9C">
        <w:t xml:space="preserve">inconsistent with the known </w:t>
      </w:r>
      <w:r>
        <w:t xml:space="preserve">autogenous </w:t>
      </w:r>
      <w:r w:rsidR="007B7F9C">
        <w:t>hydrogen flux</w:t>
      </w:r>
      <w:r w:rsidR="00F07132">
        <w:t xml:space="preserve"> </w:t>
      </w:r>
      <w:r w:rsidR="00501AB7">
        <w:t>(</w:t>
      </w:r>
      <w:r w:rsidR="00F07132">
        <w:t xml:space="preserve">measured after the </w:t>
      </w:r>
      <w:r w:rsidR="00EA3304">
        <w:t xml:space="preserve">original </w:t>
      </w:r>
      <w:r w:rsidR="00F07132">
        <w:t>tube bakeout</w:t>
      </w:r>
      <w:r w:rsidR="00501AB7">
        <w:t>)</w:t>
      </w:r>
      <w:r w:rsidR="00F07132">
        <w:t>. As a result,</w:t>
      </w:r>
      <w:r w:rsidR="007B7F9C">
        <w:t xml:space="preserve"> only the RGA data</w:t>
      </w:r>
      <w:r w:rsidR="00F07132">
        <w:t xml:space="preserve"> were used </w:t>
      </w:r>
      <w:r w:rsidR="00CB1CDF">
        <w:t>here</w:t>
      </w:r>
      <w:r w:rsidR="007B7F9C">
        <w:t xml:space="preserve">. The discharge gauge discrepancy is not understood. </w:t>
      </w:r>
    </w:p>
    <w:p w14:paraId="558806B4" w14:textId="77777777" w:rsidR="007B7F9C" w:rsidRDefault="007B7F9C" w:rsidP="007B7F9C">
      <w:pPr>
        <w:pStyle w:val="RegPara"/>
        <w:jc w:val="both"/>
      </w:pPr>
    </w:p>
    <w:p w14:paraId="5E75FB9C" w14:textId="29CE1D63" w:rsidR="007B7F9C" w:rsidRDefault="007B7F9C" w:rsidP="007B7F9C">
      <w:pPr>
        <w:pStyle w:val="RegPara"/>
        <w:jc w:val="both"/>
      </w:pPr>
      <w:r>
        <w:t xml:space="preserve">The test should be repeated after the tube has been evacuated </w:t>
      </w:r>
      <w:r w:rsidR="00E6693C">
        <w:t>and stabilized at</w:t>
      </w:r>
      <w:r>
        <w:t xml:space="preserve"> normal operating pressure, in the 10</w:t>
      </w:r>
      <w:r w:rsidRPr="007B7F9C">
        <w:rPr>
          <w:vertAlign w:val="superscript"/>
        </w:rPr>
        <w:t>-8</w:t>
      </w:r>
      <w:r>
        <w:t xml:space="preserve"> Torr range</w:t>
      </w:r>
      <w:r w:rsidR="00EA3304">
        <w:t xml:space="preserve">, and </w:t>
      </w:r>
      <w:r w:rsidR="00495D73">
        <w:t xml:space="preserve">preferably </w:t>
      </w:r>
      <w:r w:rsidR="00EA3304">
        <w:t xml:space="preserve">with </w:t>
      </w:r>
      <w:r w:rsidR="00495D73">
        <w:t>reduced</w:t>
      </w:r>
      <w:r w:rsidR="002C1EF4">
        <w:t xml:space="preserve"> incidental</w:t>
      </w:r>
      <w:r w:rsidR="00EA3304">
        <w:t xml:space="preserve"> self-pumping</w:t>
      </w:r>
      <w:r w:rsidR="00D04A86">
        <w:t xml:space="preserve"> from the instruments</w:t>
      </w:r>
      <w:r>
        <w:t xml:space="preserve">. </w:t>
      </w:r>
    </w:p>
    <w:p w14:paraId="1475DA8A" w14:textId="77777777" w:rsidR="00342194" w:rsidRPr="003613A8" w:rsidRDefault="00342194" w:rsidP="003613A8"/>
    <w:p w14:paraId="7031B49B" w14:textId="549EE7C1" w:rsidR="00E6693C" w:rsidRDefault="007B7F9C" w:rsidP="00917F3B">
      <w:pPr>
        <w:pStyle w:val="RegPara"/>
        <w:jc w:val="both"/>
      </w:pPr>
      <w:r>
        <w:rPr>
          <w:b/>
        </w:rPr>
        <w:t>Method</w:t>
      </w:r>
      <w:r w:rsidR="006B029A" w:rsidRPr="006B029A">
        <w:rPr>
          <w:b/>
        </w:rPr>
        <w:t>:</w:t>
      </w:r>
      <w:r w:rsidR="006B029A">
        <w:t xml:space="preserve"> </w:t>
      </w:r>
      <w:r w:rsidR="0001263D">
        <w:t xml:space="preserve">The beamtube was sealed at both ends (GV4 and GV9 closed).  </w:t>
      </w:r>
      <w:r w:rsidR="00F07132">
        <w:t>We monitored the tube midpoint with the Pfeiffer QMA220 RGA in multiple-ion detection m</w:t>
      </w:r>
      <w:r w:rsidR="004B79F6">
        <w:t>ode at 2, 14, 18, 28 and 40 AMU</w:t>
      </w:r>
      <w:r w:rsidR="002C1EF4">
        <w:t>, with</w:t>
      </w:r>
      <w:r w:rsidR="004B79F6">
        <w:t xml:space="preserve"> a cycle period of approximately 14 seconds. </w:t>
      </w:r>
      <w:r w:rsidR="00F07132">
        <w:t xml:space="preserve"> All channels were recorded with a fixed</w:t>
      </w:r>
      <w:r w:rsidR="0001263D">
        <w:t xml:space="preserve"> amplifier range of 0.1 nA full-</w:t>
      </w:r>
      <w:r w:rsidR="00F07132">
        <w:t xml:space="preserve">scale.  </w:t>
      </w:r>
      <w:r w:rsidR="00E6693C">
        <w:t xml:space="preserve">The empty channel at 5 AMU was also monitored to correct for preamplifier drift. </w:t>
      </w:r>
      <w:r w:rsidR="00F07132">
        <w:t xml:space="preserve">The </w:t>
      </w:r>
      <w:r w:rsidR="00E6693C">
        <w:t>ion source</w:t>
      </w:r>
      <w:r w:rsidR="00F07132">
        <w:t xml:space="preserve"> emission current was derated from the nominal 1.65 mA to 0.5 mA to improve linearity</w:t>
      </w:r>
      <w:r w:rsidR="00E6693C">
        <w:t xml:space="preserve">, at the expense of sensitivity. </w:t>
      </w:r>
      <w:r w:rsidR="0001263D">
        <w:t>The RGA tree is fitted with a small (nominal 2l/s) ion pump which operat</w:t>
      </w:r>
      <w:r w:rsidR="00244CE6">
        <w:t>es</w:t>
      </w:r>
      <w:r w:rsidR="002C1EF4">
        <w:t xml:space="preserve"> continuously</w:t>
      </w:r>
      <w:r w:rsidR="0001263D">
        <w:t xml:space="preserve">. </w:t>
      </w:r>
    </w:p>
    <w:p w14:paraId="7493EB31" w14:textId="77777777" w:rsidR="00C74DE6" w:rsidRDefault="00C74DE6" w:rsidP="00917F3B">
      <w:pPr>
        <w:pStyle w:val="RegPara"/>
        <w:jc w:val="both"/>
      </w:pPr>
    </w:p>
    <w:p w14:paraId="69B2BFD8" w14:textId="501E8F8F" w:rsidR="00C74DE6" w:rsidRDefault="00244CE6" w:rsidP="00917F3B">
      <w:pPr>
        <w:pStyle w:val="RegPara"/>
        <w:jc w:val="both"/>
      </w:pPr>
      <w:r>
        <w:t>T</w:t>
      </w:r>
      <w:r w:rsidR="00C74DE6">
        <w:t>ube</w:t>
      </w:r>
      <w:r>
        <w:t xml:space="preserve"> wall</w:t>
      </w:r>
      <w:r w:rsidR="00C74DE6">
        <w:t xml:space="preserve"> temperature was recorded by six thermocouples distributed along its length. These</w:t>
      </w:r>
      <w:r>
        <w:t xml:space="preserve"> all</w:t>
      </w:r>
      <w:r w:rsidR="00C74DE6">
        <w:t xml:space="preserve"> tracked each other closely, so they were simply averaged. It was empirically found that gas pressure effects lagged changes in tube </w:t>
      </w:r>
      <w:r w:rsidR="00B21545">
        <w:t xml:space="preserve">surface </w:t>
      </w:r>
      <w:r w:rsidR="00C74DE6">
        <w:t>temperature by 3.1</w:t>
      </w:r>
      <w:r w:rsidR="00F4433F">
        <w:t xml:space="preserve"> hours.  Th</w:t>
      </w:r>
      <w:r w:rsidR="00B21545">
        <w:t>is</w:t>
      </w:r>
      <w:r w:rsidR="00F4433F">
        <w:t xml:space="preserve"> delay was </w:t>
      </w:r>
      <w:r w:rsidR="005959A7">
        <w:t>insert</w:t>
      </w:r>
      <w:r w:rsidR="00F4433F">
        <w:t>ed</w:t>
      </w:r>
      <w:r w:rsidR="00C74DE6">
        <w:rPr>
          <w:i/>
        </w:rPr>
        <w:t xml:space="preserve"> ad hoc</w:t>
      </w:r>
      <w:r w:rsidR="00C74DE6">
        <w:t xml:space="preserve"> in the </w:t>
      </w:r>
      <w:r w:rsidR="005959A7">
        <w:t>analysis</w:t>
      </w:r>
      <w:r w:rsidR="00C74DE6">
        <w:t xml:space="preserve">. </w:t>
      </w:r>
    </w:p>
    <w:p w14:paraId="6D00B710" w14:textId="77777777" w:rsidR="00E6693C" w:rsidRDefault="00E6693C" w:rsidP="00917F3B">
      <w:pPr>
        <w:pStyle w:val="RegPara"/>
        <w:jc w:val="both"/>
      </w:pPr>
    </w:p>
    <w:p w14:paraId="1CE9431B" w14:textId="63010AE7" w:rsidR="00404A09" w:rsidRDefault="00714000" w:rsidP="00917F3B">
      <w:pPr>
        <w:pStyle w:val="RegPara"/>
        <w:jc w:val="both"/>
      </w:pPr>
      <w:r>
        <w:t>The</w:t>
      </w:r>
      <w:r w:rsidR="00C74DE6">
        <w:t xml:space="preserve"> </w:t>
      </w:r>
      <w:r>
        <w:t>average</w:t>
      </w:r>
      <w:r w:rsidR="00C74DE6">
        <w:t xml:space="preserve"> cold cathode </w:t>
      </w:r>
      <w:r w:rsidR="00E6693C">
        <w:t xml:space="preserve">pressure was </w:t>
      </w:r>
      <w:r w:rsidR="00D64D76">
        <w:t>about</w:t>
      </w:r>
      <w:r w:rsidR="00E6693C">
        <w:t xml:space="preserve"> </w:t>
      </w:r>
      <w:r w:rsidR="00D64D76">
        <w:t>3x</w:t>
      </w:r>
      <w:r w:rsidR="00E6693C">
        <w:t>10</w:t>
      </w:r>
      <w:r w:rsidR="00E6693C" w:rsidRPr="00E6693C">
        <w:rPr>
          <w:vertAlign w:val="superscript"/>
        </w:rPr>
        <w:t>-7</w:t>
      </w:r>
      <w:r w:rsidR="00E6693C">
        <w:t xml:space="preserve"> Torr</w:t>
      </w:r>
      <w:r w:rsidR="00C74DE6">
        <w:t xml:space="preserve">, </w:t>
      </w:r>
      <w:r>
        <w:t xml:space="preserve">and </w:t>
      </w:r>
      <w:r w:rsidR="00E6693C">
        <w:t>th</w:t>
      </w:r>
      <w:r w:rsidR="00C74DE6">
        <w:t xml:space="preserve">e sum of RGA ion currents </w:t>
      </w:r>
      <w:r w:rsidR="004B79F6">
        <w:t xml:space="preserve">typically </w:t>
      </w:r>
      <w:r w:rsidR="00C74DE6">
        <w:t>indicated</w:t>
      </w:r>
      <w:r w:rsidR="00E6693C">
        <w:t xml:space="preserve"> </w:t>
      </w:r>
      <w:r w:rsidR="00C74DE6">
        <w:t xml:space="preserve">RGA </w:t>
      </w:r>
      <w:r w:rsidR="00E6693C">
        <w:t xml:space="preserve">gauge factor  </w:t>
      </w:r>
      <w:r w:rsidR="00D64D76">
        <w:rPr>
          <w:i/>
        </w:rPr>
        <w:t>&lt;</w:t>
      </w:r>
      <w:r w:rsidR="00E6693C" w:rsidRPr="00E6693C">
        <w:rPr>
          <w:i/>
        </w:rPr>
        <w:t>P</w:t>
      </w:r>
      <w:r w:rsidR="00E6693C" w:rsidRPr="00E6693C">
        <w:rPr>
          <w:i/>
          <w:vertAlign w:val="subscript"/>
        </w:rPr>
        <w:t>cc</w:t>
      </w:r>
      <w:r w:rsidR="00E6693C" w:rsidRPr="00E6693C">
        <w:rPr>
          <w:i/>
        </w:rPr>
        <w:t xml:space="preserve"> </w:t>
      </w:r>
      <w:r w:rsidR="00E6693C">
        <w:rPr>
          <w:i/>
        </w:rPr>
        <w:t xml:space="preserve">/ </w:t>
      </w:r>
      <w:r w:rsidR="00E6693C" w:rsidRPr="00E6693C">
        <w:rPr>
          <w:i/>
        </w:rPr>
        <w:t>I</w:t>
      </w:r>
      <w:r w:rsidR="00E6693C" w:rsidRPr="00E6693C">
        <w:rPr>
          <w:i/>
          <w:vertAlign w:val="subscript"/>
        </w:rPr>
        <w:t>sum</w:t>
      </w:r>
      <w:r w:rsidR="00E6693C" w:rsidRPr="00E6693C">
        <w:rPr>
          <w:i/>
        </w:rPr>
        <w:t>&gt;</w:t>
      </w:r>
      <w:r w:rsidR="00C74DE6">
        <w:rPr>
          <w:i/>
        </w:rPr>
        <w:t xml:space="preserve"> </w:t>
      </w:r>
      <w:r w:rsidR="00E6693C">
        <w:rPr>
          <w:i/>
        </w:rPr>
        <w:t>=</w:t>
      </w:r>
      <w:r w:rsidR="00D64D76">
        <w:t xml:space="preserve"> 4.2x</w:t>
      </w:r>
      <w:r w:rsidR="00E6693C">
        <w:t>10</w:t>
      </w:r>
      <w:r w:rsidR="00E6693C" w:rsidRPr="00404A09">
        <w:rPr>
          <w:vertAlign w:val="superscript"/>
        </w:rPr>
        <w:t>4</w:t>
      </w:r>
      <w:r w:rsidR="00E6693C">
        <w:t xml:space="preserve"> Torr/ampere.</w:t>
      </w:r>
      <w:r w:rsidR="00404A09">
        <w:t xml:space="preserve">  </w:t>
      </w:r>
      <w:r w:rsidR="00404A09">
        <w:lastRenderedPageBreak/>
        <w:t>However</w:t>
      </w:r>
      <w:r>
        <w:t>,</w:t>
      </w:r>
      <w:r w:rsidR="00244CE6">
        <w:t xml:space="preserve"> </w:t>
      </w:r>
      <w:r w:rsidR="00404A09">
        <w:t>the instantaneous value varied by ± 15% over the course of the measurement</w:t>
      </w:r>
      <w:r>
        <w:t>;</w:t>
      </w:r>
      <w:r w:rsidR="00404A09">
        <w:t xml:space="preserve"> so th</w:t>
      </w:r>
      <w:r w:rsidR="005959A7">
        <w:t>is</w:t>
      </w:r>
      <w:r w:rsidR="00404A09">
        <w:t xml:space="preserve"> absolute calibration is unreliable.</w:t>
      </w:r>
    </w:p>
    <w:p w14:paraId="5296E687" w14:textId="77777777" w:rsidR="00404A09" w:rsidRDefault="00404A09" w:rsidP="008F48D2">
      <w:pPr>
        <w:pStyle w:val="RegPara"/>
        <w:jc w:val="both"/>
      </w:pPr>
    </w:p>
    <w:p w14:paraId="6F5E61C7" w14:textId="7D8A2C69" w:rsidR="00257B82" w:rsidRDefault="00404A09" w:rsidP="00917F3B">
      <w:pPr>
        <w:pStyle w:val="RegPara"/>
        <w:jc w:val="both"/>
      </w:pPr>
      <w:r>
        <w:t xml:space="preserve">A </w:t>
      </w:r>
      <w:r w:rsidR="0001263D">
        <w:t xml:space="preserve">50 l/s </w:t>
      </w:r>
      <w:r>
        <w:t xml:space="preserve">ion pump was inadvertently left pumping </w:t>
      </w:r>
      <w:r w:rsidR="0001263D">
        <w:t xml:space="preserve">on </w:t>
      </w:r>
      <w:r>
        <w:t xml:space="preserve">the tube at the Y end during the </w:t>
      </w:r>
      <w:r w:rsidR="00714000">
        <w:t xml:space="preserve">valve </w:t>
      </w:r>
      <w:r>
        <w:t>repair</w:t>
      </w:r>
      <w:r w:rsidR="0001263D">
        <w:t>,</w:t>
      </w:r>
      <w:r>
        <w:t xml:space="preserve"> and </w:t>
      </w:r>
      <w:r w:rsidR="00244CE6">
        <w:t xml:space="preserve">was </w:t>
      </w:r>
      <w:r>
        <w:t xml:space="preserve">not discovered until </w:t>
      </w:r>
      <w:r w:rsidR="00257B82">
        <w:t>the following day</w:t>
      </w:r>
      <w:r>
        <w:t>.  Correcting th</w:t>
      </w:r>
      <w:r w:rsidR="00244CE6">
        <w:t>is</w:t>
      </w:r>
      <w:r>
        <w:t xml:space="preserve"> oversight produced a </w:t>
      </w:r>
      <w:r w:rsidR="005959A7">
        <w:t xml:space="preserve">relaxation </w:t>
      </w:r>
      <w:r>
        <w:t>transient lasting about 8 hours. To avoid distortion</w:t>
      </w:r>
      <w:r w:rsidR="00257B82">
        <w:t>,</w:t>
      </w:r>
      <w:r>
        <w:t xml:space="preserve"> only </w:t>
      </w:r>
      <w:r w:rsidR="0001263D">
        <w:t>the l</w:t>
      </w:r>
      <w:r w:rsidR="00714000">
        <w:t>ater</w:t>
      </w:r>
      <w:r w:rsidR="0001263D">
        <w:t xml:space="preserve"> </w:t>
      </w:r>
      <w:r>
        <w:t xml:space="preserve">40 hours of data, from </w:t>
      </w:r>
      <w:r w:rsidR="005959A7">
        <w:t>17:10</w:t>
      </w:r>
      <w:r>
        <w:t xml:space="preserve"> CT on 10/14 to 09:</w:t>
      </w:r>
      <w:r w:rsidR="005959A7">
        <w:t>1</w:t>
      </w:r>
      <w:r>
        <w:t>0 CT on 10/16, were scrutinized.</w:t>
      </w:r>
    </w:p>
    <w:p w14:paraId="65384FED" w14:textId="77777777" w:rsidR="00D016AA" w:rsidRDefault="00D016AA" w:rsidP="00917F3B">
      <w:pPr>
        <w:pStyle w:val="RegPara"/>
        <w:jc w:val="both"/>
      </w:pPr>
    </w:p>
    <w:p w14:paraId="62AF41A7" w14:textId="176C4577" w:rsidR="0001263D" w:rsidRDefault="00D016AA" w:rsidP="006F2D8E">
      <w:pPr>
        <w:pStyle w:val="RegPara"/>
        <w:jc w:val="both"/>
      </w:pPr>
      <w:r>
        <w:t>Afte</w:t>
      </w:r>
      <w:r w:rsidR="00C74DE6">
        <w:t>r removing preamplifier offset, the time series of 28 AMU (</w:t>
      </w:r>
      <w:r w:rsidR="00244CE6">
        <w:t>N</w:t>
      </w:r>
      <w:r w:rsidR="00244CE6" w:rsidRPr="00244CE6">
        <w:rPr>
          <w:vertAlign w:val="subscript"/>
        </w:rPr>
        <w:t>2</w:t>
      </w:r>
      <w:r w:rsidR="00C74DE6">
        <w:t xml:space="preserve">) ion current was fitted to a linear drift plus a term proportional to </w:t>
      </w:r>
      <w:r w:rsidR="00F4433F">
        <w:t xml:space="preserve">(time-delayed) tube temperature.  A simple linear fit was </w:t>
      </w:r>
      <w:r w:rsidR="00D64D76">
        <w:t xml:space="preserve">adequate to </w:t>
      </w:r>
      <w:r w:rsidR="005959A7">
        <w:t xml:space="preserve">accurately </w:t>
      </w:r>
      <w:r w:rsidR="00D64D76">
        <w:t>model</w:t>
      </w:r>
      <w:r w:rsidR="00F4433F">
        <w:t xml:space="preserve"> 2 AMU (</w:t>
      </w:r>
      <w:r w:rsidR="00244CE6">
        <w:t>H</w:t>
      </w:r>
      <w:r w:rsidR="00244CE6" w:rsidRPr="00244CE6">
        <w:rPr>
          <w:vertAlign w:val="subscript"/>
        </w:rPr>
        <w:t>2</w:t>
      </w:r>
      <w:r w:rsidR="00F4433F">
        <w:t>) and</w:t>
      </w:r>
      <w:r w:rsidR="00244CE6">
        <w:t xml:space="preserve"> also</w:t>
      </w:r>
      <w:r w:rsidR="00F4433F">
        <w:t xml:space="preserve"> the sum of currents corresponding to 2, 18, 28 and 40 AMU.  Results are given in </w:t>
      </w:r>
      <w:r w:rsidR="00E52DFE">
        <w:fldChar w:fldCharType="begin"/>
      </w:r>
      <w:r w:rsidR="00E52DFE">
        <w:instrText xml:space="preserve"> REF _Ref275187557 \h </w:instrText>
      </w:r>
      <w:r w:rsidR="00E52DFE">
        <w:fldChar w:fldCharType="separate"/>
      </w:r>
      <w:r w:rsidR="00934CA1">
        <w:t xml:space="preserve">Table </w:t>
      </w:r>
      <w:r w:rsidR="00934CA1">
        <w:rPr>
          <w:noProof/>
        </w:rPr>
        <w:t>1</w:t>
      </w:r>
      <w:r w:rsidR="00E52DFE">
        <w:fldChar w:fldCharType="end"/>
      </w:r>
      <w:r w:rsidR="00124677">
        <w:t xml:space="preserve"> and shown in </w:t>
      </w:r>
      <w:r w:rsidR="008D4698">
        <w:fldChar w:fldCharType="begin"/>
      </w:r>
      <w:r w:rsidR="008D4698">
        <w:instrText xml:space="preserve"> REF _Ref275278421 \h </w:instrText>
      </w:r>
      <w:r w:rsidR="008D4698">
        <w:fldChar w:fldCharType="separate"/>
      </w:r>
      <w:r w:rsidR="00934CA1">
        <w:t xml:space="preserve">Figure </w:t>
      </w:r>
      <w:r w:rsidR="00934CA1">
        <w:rPr>
          <w:noProof/>
        </w:rPr>
        <w:t>2</w:t>
      </w:r>
      <w:r w:rsidR="008D4698">
        <w:fldChar w:fldCharType="end"/>
      </w:r>
      <w:r w:rsidR="00F4433F">
        <w:t>.</w:t>
      </w:r>
    </w:p>
    <w:p w14:paraId="78769E66" w14:textId="77777777" w:rsidR="0001263D" w:rsidRPr="00F4433F" w:rsidRDefault="0001263D" w:rsidP="00B558DD">
      <w:pPr>
        <w:pStyle w:val="RegPara"/>
        <w:jc w:val="center"/>
        <w:rPr>
          <w:i/>
        </w:rPr>
      </w:pPr>
    </w:p>
    <w:tbl>
      <w:tblPr>
        <w:tblStyle w:val="TableGrid"/>
        <w:tblW w:w="0" w:type="auto"/>
        <w:jc w:val="center"/>
        <w:tblLook w:val="04A0" w:firstRow="1" w:lastRow="0" w:firstColumn="1" w:lastColumn="0" w:noHBand="0" w:noVBand="1"/>
      </w:tblPr>
      <w:tblGrid>
        <w:gridCol w:w="1648"/>
        <w:gridCol w:w="1619"/>
        <w:gridCol w:w="1619"/>
        <w:gridCol w:w="1701"/>
        <w:gridCol w:w="1297"/>
      </w:tblGrid>
      <w:tr w:rsidR="00C75EF8" w:rsidRPr="00F4433F" w14:paraId="6C65A545" w14:textId="77777777" w:rsidTr="00C75EF8">
        <w:trPr>
          <w:jc w:val="center"/>
        </w:trPr>
        <w:tc>
          <w:tcPr>
            <w:tcW w:w="1648" w:type="dxa"/>
            <w:vAlign w:val="center"/>
          </w:tcPr>
          <w:p w14:paraId="5FA7BB1D" w14:textId="476C87A0" w:rsidR="00C75EF8" w:rsidRPr="00F4433F" w:rsidRDefault="00026B7B" w:rsidP="00B558DD">
            <w:pPr>
              <w:pStyle w:val="RegPara"/>
              <w:jc w:val="center"/>
              <w:rPr>
                <w:i/>
              </w:rPr>
            </w:pPr>
            <w:r w:rsidRPr="00F4433F">
              <w:rPr>
                <w:i/>
              </w:rPr>
              <w:t>Species</w:t>
            </w:r>
          </w:p>
        </w:tc>
        <w:tc>
          <w:tcPr>
            <w:tcW w:w="1619" w:type="dxa"/>
          </w:tcPr>
          <w:p w14:paraId="0B49CB3A" w14:textId="5AF96495" w:rsidR="00C75EF8" w:rsidRDefault="00026B7B" w:rsidP="00B558DD">
            <w:pPr>
              <w:pStyle w:val="RegPara"/>
              <w:jc w:val="center"/>
              <w:rPr>
                <w:i/>
              </w:rPr>
            </w:pPr>
            <w:r>
              <w:rPr>
                <w:i/>
              </w:rPr>
              <w:t>Mean</w:t>
            </w:r>
            <w:r w:rsidR="00C75EF8">
              <w:rPr>
                <w:i/>
              </w:rPr>
              <w:t xml:space="preserve"> partial pressure </w:t>
            </w:r>
          </w:p>
          <w:p w14:paraId="7B021964" w14:textId="2906207A" w:rsidR="00C75EF8" w:rsidRDefault="00C75EF8" w:rsidP="00B558DD">
            <w:pPr>
              <w:pStyle w:val="RegPara"/>
              <w:jc w:val="center"/>
              <w:rPr>
                <w:i/>
              </w:rPr>
            </w:pPr>
            <w:r>
              <w:rPr>
                <w:i/>
              </w:rPr>
              <w:t>(10</w:t>
            </w:r>
            <w:r w:rsidRPr="00C75EF8">
              <w:rPr>
                <w:i/>
                <w:vertAlign w:val="superscript"/>
              </w:rPr>
              <w:t xml:space="preserve">-7 </w:t>
            </w:r>
            <w:r>
              <w:rPr>
                <w:i/>
              </w:rPr>
              <w:t>Torr)</w:t>
            </w:r>
          </w:p>
        </w:tc>
        <w:tc>
          <w:tcPr>
            <w:tcW w:w="1619" w:type="dxa"/>
            <w:vAlign w:val="center"/>
          </w:tcPr>
          <w:p w14:paraId="5F190CF8" w14:textId="5BD45007" w:rsidR="00C75EF8" w:rsidRDefault="00026B7B" w:rsidP="00B558DD">
            <w:pPr>
              <w:pStyle w:val="RegPara"/>
              <w:jc w:val="center"/>
              <w:rPr>
                <w:i/>
              </w:rPr>
            </w:pPr>
            <w:r>
              <w:rPr>
                <w:i/>
              </w:rPr>
              <w:t>Slope</w:t>
            </w:r>
          </w:p>
          <w:p w14:paraId="40C22CD7" w14:textId="79D7CED1" w:rsidR="00C75EF8" w:rsidRPr="00F4433F" w:rsidRDefault="00C75EF8" w:rsidP="00124677">
            <w:pPr>
              <w:pStyle w:val="RegPara"/>
              <w:jc w:val="center"/>
              <w:rPr>
                <w:i/>
              </w:rPr>
            </w:pPr>
            <w:r>
              <w:rPr>
                <w:i/>
              </w:rPr>
              <w:t>(10</w:t>
            </w:r>
            <w:r w:rsidRPr="00B558DD">
              <w:rPr>
                <w:i/>
                <w:vertAlign w:val="superscript"/>
              </w:rPr>
              <w:t>-7</w:t>
            </w:r>
            <w:r>
              <w:rPr>
                <w:i/>
              </w:rPr>
              <w:t xml:space="preserve"> Tl/s)</w:t>
            </w:r>
          </w:p>
        </w:tc>
        <w:tc>
          <w:tcPr>
            <w:tcW w:w="1701" w:type="dxa"/>
            <w:vAlign w:val="center"/>
          </w:tcPr>
          <w:p w14:paraId="05D29FCF" w14:textId="08EC3552" w:rsidR="00C75EF8" w:rsidRDefault="00026B7B" w:rsidP="00B558DD">
            <w:pPr>
              <w:pStyle w:val="RegPara"/>
              <w:jc w:val="center"/>
              <w:rPr>
                <w:i/>
              </w:rPr>
            </w:pPr>
            <w:r>
              <w:rPr>
                <w:i/>
              </w:rPr>
              <w:t>Tempco</w:t>
            </w:r>
          </w:p>
          <w:p w14:paraId="743EFDC2" w14:textId="29748CC9" w:rsidR="00C75EF8" w:rsidRPr="00F4433F" w:rsidRDefault="00C75EF8" w:rsidP="00124677">
            <w:pPr>
              <w:pStyle w:val="RegPara"/>
              <w:jc w:val="center"/>
              <w:rPr>
                <w:i/>
              </w:rPr>
            </w:pPr>
            <w:r>
              <w:rPr>
                <w:i/>
              </w:rPr>
              <w:t>(10</w:t>
            </w:r>
            <w:r w:rsidRPr="00B558DD">
              <w:rPr>
                <w:i/>
                <w:vertAlign w:val="superscript"/>
              </w:rPr>
              <w:t>-10</w:t>
            </w:r>
            <w:r>
              <w:rPr>
                <w:i/>
                <w:vertAlign w:val="superscript"/>
              </w:rPr>
              <w:t xml:space="preserve"> </w:t>
            </w:r>
            <w:r>
              <w:rPr>
                <w:i/>
              </w:rPr>
              <w:t>T/K)</w:t>
            </w:r>
          </w:p>
        </w:tc>
        <w:tc>
          <w:tcPr>
            <w:tcW w:w="1297" w:type="dxa"/>
            <w:vAlign w:val="center"/>
          </w:tcPr>
          <w:p w14:paraId="2F99EA86" w14:textId="16B19B00" w:rsidR="00C75EF8" w:rsidRPr="00F4433F" w:rsidRDefault="00026B7B" w:rsidP="00B558DD">
            <w:pPr>
              <w:pStyle w:val="RegPara"/>
              <w:jc w:val="center"/>
              <w:rPr>
                <w:i/>
              </w:rPr>
            </w:pPr>
            <w:r>
              <w:rPr>
                <w:i/>
              </w:rPr>
              <w:t>Fit</w:t>
            </w:r>
            <w:r w:rsidR="00C75EF8">
              <w:rPr>
                <w:i/>
              </w:rPr>
              <w:t xml:space="preserve"> r</w:t>
            </w:r>
            <w:r w:rsidR="00C75EF8" w:rsidRPr="00F4433F">
              <w:rPr>
                <w:i/>
                <w:vertAlign w:val="superscript"/>
              </w:rPr>
              <w:t>2</w:t>
            </w:r>
          </w:p>
        </w:tc>
      </w:tr>
      <w:tr w:rsidR="00C75EF8" w14:paraId="2D617E5E" w14:textId="77777777" w:rsidTr="00C75EF8">
        <w:trPr>
          <w:jc w:val="center"/>
        </w:trPr>
        <w:tc>
          <w:tcPr>
            <w:tcW w:w="1648" w:type="dxa"/>
          </w:tcPr>
          <w:p w14:paraId="12822B59" w14:textId="6CB6EEF5" w:rsidR="00C75EF8" w:rsidRDefault="00C75EF8" w:rsidP="00B558DD">
            <w:pPr>
              <w:pStyle w:val="RegPara"/>
              <w:jc w:val="center"/>
            </w:pPr>
            <w:r>
              <w:t>N</w:t>
            </w:r>
            <w:r w:rsidRPr="00B558DD">
              <w:rPr>
                <w:vertAlign w:val="subscript"/>
              </w:rPr>
              <w:t>2</w:t>
            </w:r>
          </w:p>
        </w:tc>
        <w:tc>
          <w:tcPr>
            <w:tcW w:w="1619" w:type="dxa"/>
          </w:tcPr>
          <w:p w14:paraId="62E123C8" w14:textId="6B18A8D5" w:rsidR="00C75EF8" w:rsidRDefault="00C75EF8" w:rsidP="00B558DD">
            <w:pPr>
              <w:pStyle w:val="RegPara"/>
              <w:jc w:val="center"/>
            </w:pPr>
            <w:r>
              <w:t>2.2</w:t>
            </w:r>
          </w:p>
        </w:tc>
        <w:tc>
          <w:tcPr>
            <w:tcW w:w="1619" w:type="dxa"/>
          </w:tcPr>
          <w:p w14:paraId="26C5C2BC" w14:textId="1A950B59" w:rsidR="00C75EF8" w:rsidRDefault="00C75EF8" w:rsidP="00B558DD">
            <w:pPr>
              <w:pStyle w:val="RegPara"/>
              <w:jc w:val="center"/>
            </w:pPr>
            <w:r>
              <w:t>-1.86</w:t>
            </w:r>
          </w:p>
        </w:tc>
        <w:tc>
          <w:tcPr>
            <w:tcW w:w="1701" w:type="dxa"/>
          </w:tcPr>
          <w:p w14:paraId="0BCC7221" w14:textId="42B3E5AB" w:rsidR="00C75EF8" w:rsidRDefault="00C75EF8" w:rsidP="00B558DD">
            <w:pPr>
              <w:pStyle w:val="RegPara"/>
              <w:jc w:val="center"/>
            </w:pPr>
            <w:r>
              <w:t>+3.7</w:t>
            </w:r>
          </w:p>
        </w:tc>
        <w:tc>
          <w:tcPr>
            <w:tcW w:w="1297" w:type="dxa"/>
          </w:tcPr>
          <w:p w14:paraId="3D430892" w14:textId="465385B4" w:rsidR="00C75EF8" w:rsidRDefault="00C75EF8" w:rsidP="00B558DD">
            <w:pPr>
              <w:pStyle w:val="RegPara"/>
              <w:jc w:val="center"/>
            </w:pPr>
            <w:r>
              <w:t>0.97</w:t>
            </w:r>
          </w:p>
        </w:tc>
      </w:tr>
      <w:tr w:rsidR="00C75EF8" w14:paraId="124050DE" w14:textId="77777777" w:rsidTr="00C75EF8">
        <w:trPr>
          <w:jc w:val="center"/>
        </w:trPr>
        <w:tc>
          <w:tcPr>
            <w:tcW w:w="1648" w:type="dxa"/>
          </w:tcPr>
          <w:p w14:paraId="1039AE46" w14:textId="5413308F" w:rsidR="00C75EF8" w:rsidRDefault="00C75EF8" w:rsidP="00B558DD">
            <w:pPr>
              <w:pStyle w:val="RegPara"/>
              <w:jc w:val="center"/>
            </w:pPr>
            <w:r>
              <w:t>H</w:t>
            </w:r>
            <w:r w:rsidRPr="00B558DD">
              <w:rPr>
                <w:vertAlign w:val="subscript"/>
              </w:rPr>
              <w:t>2</w:t>
            </w:r>
          </w:p>
        </w:tc>
        <w:tc>
          <w:tcPr>
            <w:tcW w:w="1619" w:type="dxa"/>
          </w:tcPr>
          <w:p w14:paraId="4C7B330A" w14:textId="2C11DC48" w:rsidR="00C75EF8" w:rsidRDefault="00C75EF8" w:rsidP="00B558DD">
            <w:pPr>
              <w:pStyle w:val="RegPara"/>
              <w:jc w:val="center"/>
            </w:pPr>
            <w:r>
              <w:t>0.8</w:t>
            </w:r>
          </w:p>
        </w:tc>
        <w:tc>
          <w:tcPr>
            <w:tcW w:w="1619" w:type="dxa"/>
          </w:tcPr>
          <w:p w14:paraId="0FDF69E8" w14:textId="72269050" w:rsidR="00C75EF8" w:rsidRDefault="00C75EF8" w:rsidP="00B558DD">
            <w:pPr>
              <w:pStyle w:val="RegPara"/>
              <w:jc w:val="center"/>
            </w:pPr>
            <w:r>
              <w:t>+26.5*</w:t>
            </w:r>
          </w:p>
        </w:tc>
        <w:tc>
          <w:tcPr>
            <w:tcW w:w="1701" w:type="dxa"/>
          </w:tcPr>
          <w:p w14:paraId="08EE9EC9" w14:textId="59374EC0" w:rsidR="00C75EF8" w:rsidRDefault="00C75EF8" w:rsidP="00B558DD">
            <w:pPr>
              <w:pStyle w:val="RegPara"/>
              <w:jc w:val="center"/>
            </w:pPr>
            <w:r>
              <w:t>-</w:t>
            </w:r>
          </w:p>
        </w:tc>
        <w:tc>
          <w:tcPr>
            <w:tcW w:w="1297" w:type="dxa"/>
          </w:tcPr>
          <w:p w14:paraId="454E2CA8" w14:textId="3BFADB37" w:rsidR="00C75EF8" w:rsidRDefault="00C75EF8" w:rsidP="00B558DD">
            <w:pPr>
              <w:pStyle w:val="RegPara"/>
              <w:jc w:val="center"/>
            </w:pPr>
            <w:r>
              <w:t>0.99</w:t>
            </w:r>
          </w:p>
        </w:tc>
      </w:tr>
      <w:tr w:rsidR="00C75EF8" w14:paraId="7FBB801B" w14:textId="77777777" w:rsidTr="00C75EF8">
        <w:trPr>
          <w:jc w:val="center"/>
        </w:trPr>
        <w:tc>
          <w:tcPr>
            <w:tcW w:w="1648" w:type="dxa"/>
          </w:tcPr>
          <w:p w14:paraId="486B0E0B" w14:textId="12FD6D2D" w:rsidR="00C75EF8" w:rsidRDefault="00C75EF8" w:rsidP="00B558DD">
            <w:pPr>
              <w:pStyle w:val="RegPara"/>
              <w:jc w:val="center"/>
            </w:pPr>
            <w:r>
              <w:t>Σ (2,18,28,40)</w:t>
            </w:r>
          </w:p>
        </w:tc>
        <w:tc>
          <w:tcPr>
            <w:tcW w:w="1619" w:type="dxa"/>
          </w:tcPr>
          <w:p w14:paraId="20298568" w14:textId="5E6229DD" w:rsidR="00C75EF8" w:rsidRDefault="00C75EF8" w:rsidP="00B558DD">
            <w:pPr>
              <w:pStyle w:val="RegPara"/>
              <w:jc w:val="center"/>
            </w:pPr>
            <w:r>
              <w:t>3.2</w:t>
            </w:r>
          </w:p>
        </w:tc>
        <w:tc>
          <w:tcPr>
            <w:tcW w:w="1619" w:type="dxa"/>
          </w:tcPr>
          <w:p w14:paraId="4E069B14" w14:textId="2D61E8B7" w:rsidR="00C75EF8" w:rsidRDefault="00C75EF8" w:rsidP="00B558DD">
            <w:pPr>
              <w:pStyle w:val="RegPara"/>
              <w:jc w:val="center"/>
            </w:pPr>
            <w:r>
              <w:t>+24.2*</w:t>
            </w:r>
          </w:p>
        </w:tc>
        <w:tc>
          <w:tcPr>
            <w:tcW w:w="1701" w:type="dxa"/>
          </w:tcPr>
          <w:p w14:paraId="6E783B5C" w14:textId="39D503AD" w:rsidR="00C75EF8" w:rsidRDefault="00C75EF8" w:rsidP="00B558DD">
            <w:pPr>
              <w:pStyle w:val="RegPara"/>
              <w:jc w:val="center"/>
            </w:pPr>
            <w:r>
              <w:t>-</w:t>
            </w:r>
          </w:p>
        </w:tc>
        <w:tc>
          <w:tcPr>
            <w:tcW w:w="1297" w:type="dxa"/>
          </w:tcPr>
          <w:p w14:paraId="158A243F" w14:textId="21B89EE1" w:rsidR="00C75EF8" w:rsidRDefault="00C75EF8" w:rsidP="00B558DD">
            <w:pPr>
              <w:pStyle w:val="RegPara"/>
              <w:jc w:val="center"/>
            </w:pPr>
            <w:r>
              <w:t>0.97</w:t>
            </w:r>
          </w:p>
        </w:tc>
      </w:tr>
    </w:tbl>
    <w:p w14:paraId="0FB91B62" w14:textId="1A229378" w:rsidR="00124677" w:rsidRDefault="00F4433F" w:rsidP="008F48D2">
      <w:pPr>
        <w:pStyle w:val="Caption"/>
        <w:jc w:val="both"/>
      </w:pPr>
      <w:bookmarkStart w:id="1" w:name="_Ref275187557"/>
      <w:r>
        <w:t xml:space="preserve">Table </w:t>
      </w:r>
      <w:r w:rsidR="00077F03">
        <w:fldChar w:fldCharType="begin"/>
      </w:r>
      <w:r w:rsidR="00077F03">
        <w:instrText xml:space="preserve"> SEQ Table \* ARABIC </w:instrText>
      </w:r>
      <w:r w:rsidR="00077F03">
        <w:fldChar w:fldCharType="separate"/>
      </w:r>
      <w:r w:rsidR="00934CA1">
        <w:rPr>
          <w:noProof/>
        </w:rPr>
        <w:t>1</w:t>
      </w:r>
      <w:r w:rsidR="00077F03">
        <w:rPr>
          <w:noProof/>
        </w:rPr>
        <w:fldChar w:fldCharType="end"/>
      </w:r>
      <w:bookmarkEnd w:id="1"/>
      <w:r w:rsidR="00E52DFE">
        <w:t xml:space="preserve">: Fitted </w:t>
      </w:r>
      <w:r w:rsidR="00B558DD">
        <w:t xml:space="preserve">residual gas </w:t>
      </w:r>
      <w:r w:rsidR="00E52DFE">
        <w:t>influxes</w:t>
      </w:r>
      <w:r w:rsidR="00B558DD">
        <w:t xml:space="preserve"> </w:t>
      </w:r>
      <w:r w:rsidR="005959A7">
        <w:t xml:space="preserve">during </w:t>
      </w:r>
      <w:r w:rsidR="00124677">
        <w:t xml:space="preserve">drift test. Without </w:t>
      </w:r>
      <w:r w:rsidR="00E52DFE">
        <w:t>regressing</w:t>
      </w:r>
      <w:r w:rsidR="00124677">
        <w:t xml:space="preserve"> </w:t>
      </w:r>
      <w:r w:rsidR="00E52DFE">
        <w:t>correlated</w:t>
      </w:r>
      <w:r w:rsidR="00124677">
        <w:t xml:space="preserve"> temperature deviation, N</w:t>
      </w:r>
      <w:r w:rsidR="00124677" w:rsidRPr="00124677">
        <w:rPr>
          <w:vertAlign w:val="subscript"/>
        </w:rPr>
        <w:t>2</w:t>
      </w:r>
      <w:r w:rsidR="00124677">
        <w:t xml:space="preserve"> yielded slope of -2.3 x 10 </w:t>
      </w:r>
      <w:r w:rsidR="00124677" w:rsidRPr="00124677">
        <w:rPr>
          <w:vertAlign w:val="superscript"/>
        </w:rPr>
        <w:t>-7</w:t>
      </w:r>
      <w:r w:rsidR="00124677">
        <w:t xml:space="preserve"> Tl/s with  </w:t>
      </w:r>
      <w:r w:rsidR="00124677" w:rsidRPr="00E52DFE">
        <w:rPr>
          <w:i/>
        </w:rPr>
        <w:t>r</w:t>
      </w:r>
      <w:r w:rsidR="00124677" w:rsidRPr="00E52DFE">
        <w:rPr>
          <w:i/>
          <w:vertAlign w:val="superscript"/>
        </w:rPr>
        <w:t>2</w:t>
      </w:r>
      <w:r w:rsidR="00124677">
        <w:t xml:space="preserve"> = 0.68.  The mean tube temperature during the test was 24.7 C with peak-to-peak variation of 11.3C. </w:t>
      </w:r>
    </w:p>
    <w:p w14:paraId="0DE37969" w14:textId="782DD843" w:rsidR="0001263D" w:rsidRDefault="00124677" w:rsidP="00B558DD">
      <w:pPr>
        <w:pStyle w:val="Caption"/>
        <w:jc w:val="center"/>
      </w:pPr>
      <w:r w:rsidRPr="004B79F6">
        <w:t>(</w:t>
      </w:r>
      <w:r w:rsidR="00B558DD" w:rsidRPr="004B79F6">
        <w:t>*</w:t>
      </w:r>
      <w:r w:rsidRPr="004B79F6">
        <w:t xml:space="preserve"> = </w:t>
      </w:r>
      <w:r w:rsidR="00E52DFE" w:rsidRPr="004B79F6">
        <w:t>a</w:t>
      </w:r>
      <w:r w:rsidRPr="004B79F6">
        <w:t>ir-equivalent)</w:t>
      </w:r>
    </w:p>
    <w:p w14:paraId="3A75AD30" w14:textId="77777777" w:rsidR="006F2D8E" w:rsidRPr="006F2D8E" w:rsidRDefault="006F2D8E" w:rsidP="006F2D8E"/>
    <w:p w14:paraId="412ECD2D" w14:textId="77777777" w:rsidR="00824CE4" w:rsidRDefault="00824CE4" w:rsidP="00824CE4">
      <w:pPr>
        <w:pStyle w:val="Caption"/>
        <w:keepNext/>
        <w:jc w:val="center"/>
      </w:pPr>
      <w:r>
        <w:rPr>
          <w:noProof/>
        </w:rPr>
        <w:drawing>
          <wp:inline distT="0" distB="0" distL="0" distR="0" wp14:anchorId="08A3670F" wp14:editId="3A586145">
            <wp:extent cx="4177787" cy="3556000"/>
            <wp:effectExtent l="0" t="0" r="0" b="0"/>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79220" cy="3557220"/>
                    </a:xfrm>
                    <a:prstGeom prst="rect">
                      <a:avLst/>
                    </a:prstGeom>
                    <a:noFill/>
                    <a:ln>
                      <a:noFill/>
                    </a:ln>
                  </pic:spPr>
                </pic:pic>
              </a:graphicData>
            </a:graphic>
          </wp:inline>
        </w:drawing>
      </w:r>
    </w:p>
    <w:p w14:paraId="3B82166F" w14:textId="77777777" w:rsidR="00824CE4" w:rsidRPr="00DF73A8" w:rsidRDefault="00824CE4" w:rsidP="00824CE4">
      <w:pPr>
        <w:pStyle w:val="Caption"/>
        <w:jc w:val="both"/>
      </w:pPr>
      <w:r>
        <w:t xml:space="preserve">Figure </w:t>
      </w:r>
      <w:r w:rsidR="00077F03">
        <w:fldChar w:fldCharType="begin"/>
      </w:r>
      <w:r w:rsidR="00077F03">
        <w:instrText xml:space="preserve"> SEQ Figure \* ARABIC </w:instrText>
      </w:r>
      <w:r w:rsidR="00077F03">
        <w:fldChar w:fldCharType="separate"/>
      </w:r>
      <w:r w:rsidR="00934CA1">
        <w:rPr>
          <w:noProof/>
        </w:rPr>
        <w:t>1</w:t>
      </w:r>
      <w:r w:rsidR="00077F03">
        <w:rPr>
          <w:noProof/>
        </w:rPr>
        <w:fldChar w:fldCharType="end"/>
      </w:r>
      <w:r>
        <w:t>: Fit to AMU28 ion current with simple linear regression (green), regression including tube temperature delayed by 3.1 hours (red), and the linear component of the latter (turquoise). Final slope corresponds to a net rate of -1.86 x 10</w:t>
      </w:r>
      <w:r w:rsidRPr="00314D6D">
        <w:rPr>
          <w:vertAlign w:val="superscript"/>
        </w:rPr>
        <w:t>-7</w:t>
      </w:r>
      <w:r>
        <w:t xml:space="preserve"> Tl/s.</w:t>
      </w:r>
    </w:p>
    <w:p w14:paraId="384D38F9" w14:textId="10D6014B" w:rsidR="00662DDD" w:rsidRPr="00E6693C" w:rsidRDefault="00662DDD" w:rsidP="00917F3B">
      <w:pPr>
        <w:pStyle w:val="RegPara"/>
        <w:jc w:val="both"/>
      </w:pPr>
    </w:p>
    <w:p w14:paraId="3F479B49" w14:textId="77777777" w:rsidR="00AE6A0D" w:rsidRDefault="00AE6A0D" w:rsidP="00917F3B">
      <w:pPr>
        <w:pStyle w:val="RegPara"/>
        <w:jc w:val="both"/>
      </w:pPr>
    </w:p>
    <w:p w14:paraId="01F0D0FA" w14:textId="7D917410" w:rsidR="00570F0A" w:rsidRDefault="00A12C3A" w:rsidP="007B7F9C">
      <w:pPr>
        <w:jc w:val="both"/>
        <w:rPr>
          <w:sz w:val="24"/>
          <w:szCs w:val="24"/>
        </w:rPr>
      </w:pPr>
      <w:r>
        <w:rPr>
          <w:b/>
          <w:sz w:val="24"/>
          <w:szCs w:val="24"/>
        </w:rPr>
        <w:t>Results</w:t>
      </w:r>
      <w:r w:rsidR="007B7F9C" w:rsidRPr="007B7F9C">
        <w:rPr>
          <w:b/>
          <w:sz w:val="24"/>
          <w:szCs w:val="24"/>
        </w:rPr>
        <w:t>:</w:t>
      </w:r>
      <w:r w:rsidR="007B7F9C">
        <w:rPr>
          <w:sz w:val="24"/>
          <w:szCs w:val="24"/>
        </w:rPr>
        <w:t xml:space="preserve"> </w:t>
      </w:r>
    </w:p>
    <w:p w14:paraId="57562847" w14:textId="2B7970C2" w:rsidR="00E52DFE" w:rsidRDefault="00E52DFE" w:rsidP="00E52DFE">
      <w:pPr>
        <w:pStyle w:val="RegPara"/>
        <w:jc w:val="both"/>
      </w:pPr>
      <w:r w:rsidRPr="00570F0A">
        <w:rPr>
          <w:i/>
        </w:rPr>
        <w:t>Hydrogen:</w:t>
      </w:r>
      <w:r>
        <w:t xml:space="preserve"> After correcting for </w:t>
      </w:r>
      <w:r w:rsidR="008D4698">
        <w:t xml:space="preserve">hydrogen's reduced </w:t>
      </w:r>
      <w:r>
        <w:t>ionization cross-section with respect to air (a factor of 2.4)</w:t>
      </w:r>
      <w:r w:rsidR="008F48D2">
        <w:t>,</w:t>
      </w:r>
      <w:r>
        <w:t xml:space="preserve"> the implied </w:t>
      </w:r>
      <w:r w:rsidR="00AA7427">
        <w:t xml:space="preserve">tube </w:t>
      </w:r>
      <w:r w:rsidR="00C75EF8">
        <w:t xml:space="preserve">wall desorption </w:t>
      </w:r>
      <w:r>
        <w:t xml:space="preserve">flux is </w:t>
      </w:r>
    </w:p>
    <w:p w14:paraId="1F540808" w14:textId="77777777" w:rsidR="00E52DFE" w:rsidRDefault="00E52DFE" w:rsidP="00E52DFE">
      <w:pPr>
        <w:pStyle w:val="RegPara"/>
        <w:jc w:val="both"/>
      </w:pPr>
    </w:p>
    <w:p w14:paraId="75C4E562" w14:textId="77777777" w:rsidR="00E52DFE" w:rsidRDefault="00E52DFE" w:rsidP="00E52DFE">
      <w:pPr>
        <w:pStyle w:val="RegPara"/>
        <w:jc w:val="center"/>
      </w:pPr>
      <w:r>
        <w:t>&lt;</w:t>
      </w:r>
      <w:r w:rsidRPr="00124677">
        <w:rPr>
          <w:i/>
        </w:rPr>
        <w:t>J</w:t>
      </w:r>
      <w:r w:rsidRPr="00124677">
        <w:rPr>
          <w:i/>
          <w:vertAlign w:val="subscript"/>
        </w:rPr>
        <w:t>H2</w:t>
      </w:r>
      <w:r>
        <w:t>&gt; = 4.1 x 10</w:t>
      </w:r>
      <w:r w:rsidRPr="00124677">
        <w:rPr>
          <w:vertAlign w:val="superscript"/>
        </w:rPr>
        <w:t>-14</w:t>
      </w:r>
      <w:r>
        <w:t xml:space="preserve"> Tl/s/cm</w:t>
      </w:r>
      <w:r w:rsidRPr="00124677">
        <w:rPr>
          <w:vertAlign w:val="superscript"/>
        </w:rPr>
        <w:t>2</w:t>
      </w:r>
      <w:r>
        <w:rPr>
          <w:vertAlign w:val="superscript"/>
        </w:rPr>
        <w:t xml:space="preserve"> </w:t>
      </w:r>
      <w:r>
        <w:t>@ 24.7 C</w:t>
      </w:r>
    </w:p>
    <w:p w14:paraId="1DA0CF93" w14:textId="77777777" w:rsidR="00E52DFE" w:rsidRDefault="00E52DFE" w:rsidP="00E52DFE">
      <w:pPr>
        <w:pStyle w:val="RegPara"/>
        <w:jc w:val="center"/>
      </w:pPr>
    </w:p>
    <w:p w14:paraId="0528169B" w14:textId="6CE77FB1" w:rsidR="00E52DFE" w:rsidRDefault="00E52DFE" w:rsidP="00C75EF8">
      <w:pPr>
        <w:pStyle w:val="RegPara"/>
      </w:pPr>
      <w:r>
        <w:t>According to Weiss</w:t>
      </w:r>
      <w:r w:rsidR="002F2515">
        <w:rPr>
          <w:rStyle w:val="FootnoteReference"/>
        </w:rPr>
        <w:footnoteReference w:id="1"/>
      </w:r>
      <w:r>
        <w:t>, original H</w:t>
      </w:r>
      <w:r w:rsidRPr="009840FA">
        <w:rPr>
          <w:vertAlign w:val="subscript"/>
        </w:rPr>
        <w:t>2</w:t>
      </w:r>
      <w:r w:rsidR="00C75EF8">
        <w:t xml:space="preserve"> desorption</w:t>
      </w:r>
      <w:r>
        <w:t xml:space="preserve"> measured after bakeout (averaged between Y1 and Y2</w:t>
      </w:r>
      <w:r w:rsidR="00C75EF8">
        <w:t>,</w:t>
      </w:r>
      <w:r>
        <w:t xml:space="preserve"> corrected to 24.7 C) was about </w:t>
      </w:r>
      <w:r w:rsidR="00C75EF8">
        <w:t>3.7 x 10</w:t>
      </w:r>
      <w:r w:rsidR="00C75EF8" w:rsidRPr="009840FA">
        <w:rPr>
          <w:vertAlign w:val="superscript"/>
        </w:rPr>
        <w:t>-14</w:t>
      </w:r>
      <w:r w:rsidR="00C75EF8">
        <w:t xml:space="preserve"> Tl/s/cm</w:t>
      </w:r>
      <w:r w:rsidR="00C75EF8" w:rsidRPr="009840FA">
        <w:rPr>
          <w:vertAlign w:val="superscript"/>
        </w:rPr>
        <w:t>2</w:t>
      </w:r>
      <w:r w:rsidR="00C75EF8">
        <w:t xml:space="preserve">. </w:t>
      </w:r>
      <w:r>
        <w:t xml:space="preserve">This </w:t>
      </w:r>
      <w:r w:rsidR="00C75EF8">
        <w:t>i</w:t>
      </w:r>
      <w:r>
        <w:t xml:space="preserve">s </w:t>
      </w:r>
      <w:r w:rsidR="00C75EF8">
        <w:t xml:space="preserve">in </w:t>
      </w:r>
      <w:r>
        <w:t>reasonabl</w:t>
      </w:r>
      <w:r w:rsidR="00C75EF8">
        <w:t>e agreement</w:t>
      </w:r>
      <w:r w:rsidR="00501AB7">
        <w:t>,</w:t>
      </w:r>
      <w:r>
        <w:t xml:space="preserve"> given the crude absolute calibration.</w:t>
      </w:r>
    </w:p>
    <w:p w14:paraId="6DF7FBBE" w14:textId="77777777" w:rsidR="00E52DFE" w:rsidRDefault="00E52DFE" w:rsidP="00E52DFE">
      <w:pPr>
        <w:pStyle w:val="RegPara"/>
      </w:pPr>
    </w:p>
    <w:p w14:paraId="5D819425" w14:textId="123BBB64" w:rsidR="00E52DFE" w:rsidRDefault="00E52DFE" w:rsidP="00E52DFE">
      <w:pPr>
        <w:pStyle w:val="RegPara"/>
      </w:pPr>
      <w:r w:rsidRPr="00E52DFE">
        <w:rPr>
          <w:i/>
        </w:rPr>
        <w:t>Nitrogen:</w:t>
      </w:r>
      <w:r>
        <w:rPr>
          <w:i/>
        </w:rPr>
        <w:t xml:space="preserve"> </w:t>
      </w:r>
      <w:r>
        <w:t>We see</w:t>
      </w:r>
      <w:r w:rsidR="00F87911">
        <w:t xml:space="preserve"> </w:t>
      </w:r>
      <w:r w:rsidR="00C75EF8">
        <w:t xml:space="preserve">evidence of </w:t>
      </w:r>
      <w:r w:rsidR="00F87911">
        <w:t xml:space="preserve">a slight </w:t>
      </w:r>
      <w:r w:rsidR="00F87911" w:rsidRPr="00F87911">
        <w:rPr>
          <w:i/>
        </w:rPr>
        <w:t>negative</w:t>
      </w:r>
      <w:r w:rsidR="00F87911">
        <w:t xml:space="preserve"> leak rate. This is not unexpected; in addition to the small ion pump on the RGA tree, mentioned above, it is known that each of the eight discharge gauges arrayed </w:t>
      </w:r>
      <w:r w:rsidR="00C75EF8">
        <w:t>along</w:t>
      </w:r>
      <w:r w:rsidR="00F87911">
        <w:t xml:space="preserve"> the tube also has some net pumping action. </w:t>
      </w:r>
      <w:r w:rsidR="00C75EF8">
        <w:t>Chambers et al</w:t>
      </w:r>
      <w:r w:rsidR="00C75EF8">
        <w:rPr>
          <w:rStyle w:val="FootnoteReference"/>
        </w:rPr>
        <w:footnoteReference w:id="2"/>
      </w:r>
      <w:r w:rsidR="00C75EF8">
        <w:t xml:space="preserve"> estimate </w:t>
      </w:r>
      <w:r w:rsidR="00C75EF8" w:rsidRPr="00C75EF8">
        <w:rPr>
          <w:i/>
        </w:rPr>
        <w:t>F</w:t>
      </w:r>
      <w:r w:rsidR="00C75EF8" w:rsidRPr="00C75EF8">
        <w:rPr>
          <w:i/>
          <w:vertAlign w:val="subscript"/>
        </w:rPr>
        <w:t>gauge</w:t>
      </w:r>
      <w:r w:rsidR="00C75EF8">
        <w:t xml:space="preserve"> ~ 0.1 l/s for inverted magnetron </w:t>
      </w:r>
      <w:r w:rsidR="00501AB7">
        <w:t xml:space="preserve">cold-cathode </w:t>
      </w:r>
      <w:r w:rsidR="00C75EF8">
        <w:t xml:space="preserve">gauges (the general type we </w:t>
      </w:r>
      <w:r w:rsidR="00B7726A">
        <w:t>use</w:t>
      </w:r>
      <w:r w:rsidR="00C75EF8">
        <w:t>).   Li and Jousten</w:t>
      </w:r>
      <w:r w:rsidR="00C75EF8">
        <w:rPr>
          <w:rStyle w:val="FootnoteReference"/>
        </w:rPr>
        <w:footnoteReference w:id="3"/>
      </w:r>
      <w:r w:rsidR="00C75EF8">
        <w:t xml:space="preserve"> report direct measurements of 0.045 l/s and 0.065 l/s</w:t>
      </w:r>
      <w:r w:rsidR="00501AB7">
        <w:t xml:space="preserve"> self-pumping</w:t>
      </w:r>
      <w:r w:rsidR="00C75EF8">
        <w:t xml:space="preserve"> on two diff</w:t>
      </w:r>
      <w:r w:rsidR="002749E3">
        <w:t>erent inverted magnetron</w:t>
      </w:r>
      <w:r w:rsidR="00B7726A">
        <w:t xml:space="preserve">s (a Varian and an Inficon). </w:t>
      </w:r>
      <w:r w:rsidR="00C75EF8">
        <w:t xml:space="preserve">   </w:t>
      </w:r>
    </w:p>
    <w:p w14:paraId="0E1227D5" w14:textId="77777777" w:rsidR="00C75EF8" w:rsidRDefault="00C75EF8" w:rsidP="00E52DFE">
      <w:pPr>
        <w:pStyle w:val="RegPara"/>
      </w:pPr>
    </w:p>
    <w:p w14:paraId="7117D5C4" w14:textId="081A9281" w:rsidR="002A73DA" w:rsidRDefault="00C75EF8" w:rsidP="00E52DFE">
      <w:pPr>
        <w:pStyle w:val="RegPara"/>
      </w:pPr>
      <w:r>
        <w:t xml:space="preserve">The small </w:t>
      </w:r>
      <w:r w:rsidR="008D4698">
        <w:t xml:space="preserve">RGA </w:t>
      </w:r>
      <w:r>
        <w:t xml:space="preserve">ion pump has </w:t>
      </w:r>
      <w:r w:rsidR="008C4BC3">
        <w:t>led</w:t>
      </w:r>
      <w:r>
        <w:t xml:space="preserve"> a difficult life, and </w:t>
      </w:r>
      <w:r w:rsidR="00501AB7">
        <w:t xml:space="preserve">is </w:t>
      </w:r>
      <w:r w:rsidR="008C4BC3">
        <w:t>lately</w:t>
      </w:r>
      <w:r>
        <w:t xml:space="preserve"> known to be a </w:t>
      </w:r>
      <w:r w:rsidR="002A73DA">
        <w:t xml:space="preserve">net </w:t>
      </w:r>
      <w:r>
        <w:t xml:space="preserve">source of noble gases. Its nitrogen speed might </w:t>
      </w:r>
      <w:r w:rsidR="00824CE4">
        <w:t xml:space="preserve">plausibly </w:t>
      </w:r>
      <w:r>
        <w:t>be anywhere from 0 to 2 l/s</w:t>
      </w:r>
      <w:r w:rsidR="002A73DA">
        <w:t xml:space="preserve"> (its nameplate rating)</w:t>
      </w:r>
      <w:r>
        <w:t xml:space="preserve">. </w:t>
      </w:r>
    </w:p>
    <w:p w14:paraId="115BB580" w14:textId="77777777" w:rsidR="002A73DA" w:rsidRDefault="002A73DA" w:rsidP="00E52DFE">
      <w:pPr>
        <w:pStyle w:val="RegPara"/>
      </w:pPr>
    </w:p>
    <w:p w14:paraId="756E8A8B" w14:textId="1FB5E3BA" w:rsidR="007916F9" w:rsidRDefault="007916F9" w:rsidP="00E52DFE">
      <w:pPr>
        <w:pStyle w:val="RegPara"/>
      </w:pPr>
      <w:r>
        <w:t>Taking</w:t>
      </w:r>
      <w:r w:rsidR="002A73DA">
        <w:t xml:space="preserve"> </w:t>
      </w:r>
      <w:r w:rsidR="008D4698">
        <w:t>the range of</w:t>
      </w:r>
      <w:r w:rsidR="002A73DA">
        <w:t xml:space="preserve"> quoted values</w:t>
      </w:r>
      <w:r w:rsidR="00C75EF8">
        <w:t xml:space="preserve"> </w:t>
      </w:r>
      <w:r w:rsidR="002A73DA">
        <w:t>for the cold cathode units</w:t>
      </w:r>
      <w:r w:rsidR="00824CE4">
        <w:t xml:space="preserve"> (x</w:t>
      </w:r>
      <w:r w:rsidR="002A73DA">
        <w:t xml:space="preserve"> 8 active gauges</w:t>
      </w:r>
      <w:r w:rsidR="00824CE4">
        <w:t>)</w:t>
      </w:r>
      <w:r w:rsidR="002A73DA">
        <w:t xml:space="preserve">, </w:t>
      </w:r>
      <w:r w:rsidR="00C75EF8">
        <w:t xml:space="preserve">we estimate the total gauge and RGA pumping speed should be </w:t>
      </w:r>
    </w:p>
    <w:p w14:paraId="3F42FD78" w14:textId="77777777" w:rsidR="007916F9" w:rsidRDefault="007916F9" w:rsidP="00E52DFE">
      <w:pPr>
        <w:pStyle w:val="RegPara"/>
      </w:pPr>
    </w:p>
    <w:p w14:paraId="0802C70E" w14:textId="47C6B316" w:rsidR="007916F9" w:rsidRDefault="002A73DA" w:rsidP="007916F9">
      <w:pPr>
        <w:pStyle w:val="RegPara"/>
        <w:jc w:val="center"/>
      </w:pPr>
      <w:r>
        <w:t>0.</w:t>
      </w:r>
      <w:r w:rsidR="007916F9">
        <w:t>4</w:t>
      </w:r>
      <w:r>
        <w:t xml:space="preserve"> l/s &lt; </w:t>
      </w:r>
      <w:r w:rsidR="00C75EF8">
        <w:t>Σ (</w:t>
      </w:r>
      <w:r w:rsidR="00C75EF8" w:rsidRPr="00C75EF8">
        <w:rPr>
          <w:i/>
        </w:rPr>
        <w:t>F</w:t>
      </w:r>
      <w:r w:rsidR="00C75EF8" w:rsidRPr="00C75EF8">
        <w:rPr>
          <w:i/>
          <w:vertAlign w:val="subscript"/>
        </w:rPr>
        <w:t>gauges</w:t>
      </w:r>
      <w:r w:rsidR="00C75EF8" w:rsidRPr="00C75EF8">
        <w:t>)</w:t>
      </w:r>
      <w:r w:rsidR="00C75EF8">
        <w:t xml:space="preserve"> &lt; </w:t>
      </w:r>
      <w:r>
        <w:t>3 l/s.</w:t>
      </w:r>
    </w:p>
    <w:p w14:paraId="70069673" w14:textId="77777777" w:rsidR="007916F9" w:rsidRDefault="007916F9" w:rsidP="00E52DFE">
      <w:pPr>
        <w:pStyle w:val="RegPara"/>
      </w:pPr>
    </w:p>
    <w:p w14:paraId="408DF3FD" w14:textId="69D075BA" w:rsidR="00C75EF8" w:rsidRDefault="008D4698" w:rsidP="00E52DFE">
      <w:pPr>
        <w:pStyle w:val="RegPara"/>
      </w:pPr>
      <w:r>
        <w:t>S</w:t>
      </w:r>
      <w:r w:rsidR="002A73DA">
        <w:t xml:space="preserve">elf-pumping would </w:t>
      </w:r>
      <w:r w:rsidR="00824CE4">
        <w:t xml:space="preserve">thus </w:t>
      </w:r>
      <w:r w:rsidR="002A73DA">
        <w:t>subtract a</w:t>
      </w:r>
      <w:r w:rsidR="00C75EF8">
        <w:t xml:space="preserve"> </w:t>
      </w:r>
      <w:r w:rsidR="002A73DA">
        <w:t xml:space="preserve">bias </w:t>
      </w:r>
      <w:r w:rsidR="008C4BC3">
        <w:t>of</w:t>
      </w:r>
      <w:r w:rsidR="002A73DA">
        <w:t xml:space="preserve"> </w:t>
      </w:r>
      <w:r w:rsidR="007916F9">
        <w:t>0.8</w:t>
      </w:r>
      <w:r w:rsidR="002A73DA">
        <w:t xml:space="preserve"> x 10</w:t>
      </w:r>
      <w:r w:rsidR="002A73DA" w:rsidRPr="00C75EF8">
        <w:rPr>
          <w:vertAlign w:val="superscript"/>
        </w:rPr>
        <w:t>-7</w:t>
      </w:r>
      <w:r w:rsidR="002A73DA">
        <w:t xml:space="preserve">  Tl/s &lt; </w:t>
      </w:r>
      <w:r w:rsidR="00C75EF8" w:rsidRPr="00C75EF8">
        <w:rPr>
          <w:i/>
        </w:rPr>
        <w:t>Q</w:t>
      </w:r>
      <w:r w:rsidR="00C75EF8" w:rsidRPr="00C75EF8">
        <w:rPr>
          <w:i/>
          <w:vertAlign w:val="subscript"/>
        </w:rPr>
        <w:t>gauges</w:t>
      </w:r>
      <w:r w:rsidR="00C75EF8">
        <w:t xml:space="preserve"> &lt; </w:t>
      </w:r>
      <w:r w:rsidR="002A73DA">
        <w:t>6.5</w:t>
      </w:r>
      <w:r w:rsidR="00C75EF8">
        <w:t xml:space="preserve"> x 10</w:t>
      </w:r>
      <w:r w:rsidR="00C75EF8" w:rsidRPr="00C75EF8">
        <w:rPr>
          <w:vertAlign w:val="superscript"/>
        </w:rPr>
        <w:t>-7</w:t>
      </w:r>
      <w:r w:rsidR="00C75EF8">
        <w:t xml:space="preserve"> Tl/s </w:t>
      </w:r>
      <w:r w:rsidR="00026B7B">
        <w:t>at the</w:t>
      </w:r>
      <w:r w:rsidR="002A73DA">
        <w:t xml:space="preserve"> mean N</w:t>
      </w:r>
      <w:r w:rsidR="002A73DA" w:rsidRPr="002A73DA">
        <w:rPr>
          <w:vertAlign w:val="subscript"/>
        </w:rPr>
        <w:t>2</w:t>
      </w:r>
      <w:r w:rsidR="002A73DA">
        <w:t xml:space="preserve"> partial pressure of 2.2 x 10</w:t>
      </w:r>
      <w:r w:rsidR="002A73DA" w:rsidRPr="002A73DA">
        <w:rPr>
          <w:vertAlign w:val="superscript"/>
        </w:rPr>
        <w:t>-7</w:t>
      </w:r>
      <w:r w:rsidR="002A73DA">
        <w:t xml:space="preserve"> Torr. </w:t>
      </w:r>
      <w:r w:rsidR="007916F9">
        <w:t xml:space="preserve">The measured </w:t>
      </w:r>
      <w:r w:rsidR="00501AB7">
        <w:t xml:space="preserve">nitrogen </w:t>
      </w:r>
      <w:r w:rsidR="007916F9">
        <w:t xml:space="preserve">slope could therefore correspond to a true leak rate of </w:t>
      </w:r>
    </w:p>
    <w:p w14:paraId="0652F2E5" w14:textId="77777777" w:rsidR="007916F9" w:rsidRDefault="007916F9" w:rsidP="00E52DFE">
      <w:pPr>
        <w:pStyle w:val="RegPara"/>
      </w:pPr>
    </w:p>
    <w:p w14:paraId="36B13266" w14:textId="5D1122BD" w:rsidR="007916F9" w:rsidRDefault="007916F9" w:rsidP="007916F9">
      <w:pPr>
        <w:pStyle w:val="RegPara"/>
        <w:jc w:val="center"/>
      </w:pPr>
      <w:r>
        <w:t>-1.1 x 10</w:t>
      </w:r>
      <w:r w:rsidRPr="007916F9">
        <w:rPr>
          <w:vertAlign w:val="superscript"/>
        </w:rPr>
        <w:t xml:space="preserve">-7  </w:t>
      </w:r>
      <w:r>
        <w:t xml:space="preserve">Tl/s &lt; </w:t>
      </w:r>
      <w:r w:rsidRPr="007916F9">
        <w:rPr>
          <w:i/>
        </w:rPr>
        <w:t>Q</w:t>
      </w:r>
      <w:r w:rsidRPr="007916F9">
        <w:rPr>
          <w:i/>
          <w:vertAlign w:val="subscript"/>
        </w:rPr>
        <w:t>leak</w:t>
      </w:r>
      <w:r>
        <w:t xml:space="preserve"> &lt; 4.6 x 10</w:t>
      </w:r>
      <w:r w:rsidRPr="007916F9">
        <w:rPr>
          <w:vertAlign w:val="superscript"/>
        </w:rPr>
        <w:t>-7</w:t>
      </w:r>
      <w:r>
        <w:t xml:space="preserve"> Tl/s.</w:t>
      </w:r>
    </w:p>
    <w:p w14:paraId="523363DA" w14:textId="77777777" w:rsidR="007916F9" w:rsidRDefault="007916F9" w:rsidP="007916F9">
      <w:pPr>
        <w:pStyle w:val="RegPara"/>
        <w:jc w:val="center"/>
      </w:pPr>
    </w:p>
    <w:p w14:paraId="188A725F" w14:textId="02F5F21B" w:rsidR="007916F9" w:rsidRDefault="007916F9" w:rsidP="007916F9">
      <w:pPr>
        <w:pStyle w:val="RegPara"/>
      </w:pPr>
      <w:r>
        <w:t xml:space="preserve">Repeating the test at reduced mean pressure will constrain </w:t>
      </w:r>
      <w:r w:rsidR="00501AB7">
        <w:t xml:space="preserve">any </w:t>
      </w:r>
      <w:r>
        <w:t>possible effects of self-pumping and improve the</w:t>
      </w:r>
      <w:r w:rsidR="00824CE4">
        <w:t>se</w:t>
      </w:r>
      <w:r>
        <w:t xml:space="preserve"> limits accordingly.  </w:t>
      </w:r>
      <w:r w:rsidR="00501AB7">
        <w:t xml:space="preserve">The small ion pump should also be shut off or (preferably) isolated. </w:t>
      </w:r>
      <w:r w:rsidR="008C4BC3">
        <w:t xml:space="preserve"> Some or all of the cold-cathode gauges can probably also be temporarily shut off without penalty. </w:t>
      </w:r>
    </w:p>
    <w:p w14:paraId="22CD5045" w14:textId="77777777" w:rsidR="00501AB7" w:rsidRDefault="00501AB7" w:rsidP="007916F9">
      <w:pPr>
        <w:pStyle w:val="RegPara"/>
      </w:pPr>
    </w:p>
    <w:p w14:paraId="398D26D5" w14:textId="68E196D4" w:rsidR="00501AB7" w:rsidRDefault="00501AB7" w:rsidP="007916F9">
      <w:pPr>
        <w:pStyle w:val="RegPara"/>
      </w:pPr>
      <w:r w:rsidRPr="00501AB7">
        <w:rPr>
          <w:i/>
        </w:rPr>
        <w:t>About th</w:t>
      </w:r>
      <w:r>
        <w:rPr>
          <w:i/>
        </w:rPr>
        <w:t>e</w:t>
      </w:r>
      <w:r w:rsidRPr="00501AB7">
        <w:rPr>
          <w:i/>
        </w:rPr>
        <w:t xml:space="preserve"> cold-cathodes:</w:t>
      </w:r>
      <w:r>
        <w:t xml:space="preserve"> A similar temperature-corrected regression analysis on the average of the 8 cold-cathode gauges gave an apparent positive rate of 4.7 x 10</w:t>
      </w:r>
      <w:r w:rsidRPr="00501AB7">
        <w:rPr>
          <w:vertAlign w:val="superscript"/>
        </w:rPr>
        <w:t>-7</w:t>
      </w:r>
      <w:r>
        <w:t xml:space="preserve"> Tl/s with </w:t>
      </w:r>
      <w:r w:rsidRPr="00501AB7">
        <w:rPr>
          <w:i/>
        </w:rPr>
        <w:t>r</w:t>
      </w:r>
      <w:r w:rsidRPr="00501AB7">
        <w:rPr>
          <w:i/>
          <w:vertAlign w:val="superscript"/>
        </w:rPr>
        <w:t>2</w:t>
      </w:r>
      <w:r>
        <w:t xml:space="preserve"> = 0.98.  This quantity does </w:t>
      </w:r>
      <w:r w:rsidRPr="00824CE4">
        <w:rPr>
          <w:i/>
        </w:rPr>
        <w:t>not</w:t>
      </w:r>
      <w:r>
        <w:t xml:space="preserve"> track the </w:t>
      </w:r>
      <w:r w:rsidR="008C4BC3">
        <w:t>RGA current sum; indeed, it is inconsistent with</w:t>
      </w:r>
      <w:r>
        <w:t xml:space="preserve"> expected hydrogen desorption, </w:t>
      </w:r>
      <w:r w:rsidR="008D4698">
        <w:t>given</w:t>
      </w:r>
      <w:r>
        <w:t xml:space="preserve"> plausible limits of gauge self-pumping. </w:t>
      </w:r>
      <w:r w:rsidR="00824CE4">
        <w:fldChar w:fldCharType="begin"/>
      </w:r>
      <w:r w:rsidR="00824CE4">
        <w:instrText xml:space="preserve"> REF _Ref275196198 \h </w:instrText>
      </w:r>
      <w:r w:rsidR="00824CE4">
        <w:fldChar w:fldCharType="separate"/>
      </w:r>
      <w:r w:rsidR="00934CA1">
        <w:t xml:space="preserve">Figure </w:t>
      </w:r>
      <w:r w:rsidR="00934CA1">
        <w:rPr>
          <w:noProof/>
        </w:rPr>
        <w:t>3</w:t>
      </w:r>
      <w:r w:rsidR="00824CE4">
        <w:fldChar w:fldCharType="end"/>
      </w:r>
      <w:r w:rsidR="00824CE4">
        <w:t xml:space="preserve"> </w:t>
      </w:r>
      <w:r>
        <w:t>shows the problem. The ion gauges do correlate well with each other, however.</w:t>
      </w:r>
    </w:p>
    <w:p w14:paraId="6605DF4D" w14:textId="77777777" w:rsidR="00501AB7" w:rsidRDefault="00501AB7" w:rsidP="007916F9">
      <w:pPr>
        <w:pStyle w:val="RegPara"/>
      </w:pPr>
    </w:p>
    <w:p w14:paraId="40E4F749" w14:textId="6E4F3293" w:rsidR="00314D6D" w:rsidRPr="00DC6864" w:rsidRDefault="00501AB7" w:rsidP="00DC6864">
      <w:pPr>
        <w:pStyle w:val="RegPara"/>
      </w:pPr>
      <w:r>
        <w:t>One possible explanation is that somehow these gauges are</w:t>
      </w:r>
      <w:r w:rsidR="00B7726A">
        <w:t xml:space="preserve"> partially</w:t>
      </w:r>
      <w:r>
        <w:t xml:space="preserve"> "blind" to hydrogen. This seems unlikely</w:t>
      </w:r>
      <w:r w:rsidR="00B7726A">
        <w:t>, although Li and Jousten do report variations in relative H</w:t>
      </w:r>
      <w:r w:rsidR="00B7726A" w:rsidRPr="00B7726A">
        <w:rPr>
          <w:vertAlign w:val="subscript"/>
        </w:rPr>
        <w:t>2</w:t>
      </w:r>
      <w:r w:rsidR="00B7726A">
        <w:t xml:space="preserve"> sensitivity</w:t>
      </w:r>
      <w:r w:rsidR="005D6516">
        <w:t xml:space="preserve"> with respect to nitrogen, specific to</w:t>
      </w:r>
      <w:r w:rsidR="00B7726A">
        <w:t xml:space="preserve"> the pressure range tested here</w:t>
      </w:r>
      <w:r>
        <w:t xml:space="preserve">. Another </w:t>
      </w:r>
      <w:r w:rsidR="005D6516">
        <w:t xml:space="preserve">possibility </w:t>
      </w:r>
      <w:r>
        <w:t xml:space="preserve">might be some subtle common nonlinearity or other flaw in the internal </w:t>
      </w:r>
      <w:r w:rsidR="005D6516">
        <w:t>nonlinear</w:t>
      </w:r>
      <w:r w:rsidR="006F2D8E">
        <w:t xml:space="preserve"> </w:t>
      </w:r>
      <w:r>
        <w:t xml:space="preserve">conversion from ion current to </w:t>
      </w:r>
      <w:r w:rsidR="006F2D8E">
        <w:t>output voltage</w:t>
      </w:r>
      <w:r>
        <w:t>, or in our conversion of th</w:t>
      </w:r>
      <w:r w:rsidR="006F2D8E">
        <w:t>is</w:t>
      </w:r>
      <w:r>
        <w:t xml:space="preserve"> voltage to readout. We will have to investigate this; in the meantime, we </w:t>
      </w:r>
      <w:r w:rsidR="008D4698">
        <w:t xml:space="preserve">should be careful about trusting </w:t>
      </w:r>
      <w:r>
        <w:t xml:space="preserve">cold cathode pressures. </w:t>
      </w:r>
    </w:p>
    <w:p w14:paraId="1F796FD8" w14:textId="32968366" w:rsidR="00DF73A8" w:rsidRDefault="00DF73A8" w:rsidP="00DF73A8">
      <w:pPr>
        <w:pStyle w:val="Caption"/>
        <w:jc w:val="center"/>
      </w:pPr>
      <w:r>
        <w:rPr>
          <w:noProof/>
        </w:rPr>
        <w:drawing>
          <wp:inline distT="0" distB="0" distL="0" distR="0" wp14:anchorId="5FE3F7F2" wp14:editId="4304AE98">
            <wp:extent cx="4074953" cy="3403600"/>
            <wp:effectExtent l="0" t="0" r="0"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76748" cy="3405099"/>
                    </a:xfrm>
                    <a:prstGeom prst="rect">
                      <a:avLst/>
                    </a:prstGeom>
                    <a:noFill/>
                    <a:ln>
                      <a:noFill/>
                    </a:ln>
                  </pic:spPr>
                </pic:pic>
              </a:graphicData>
            </a:graphic>
          </wp:inline>
        </w:drawing>
      </w:r>
    </w:p>
    <w:p w14:paraId="49A0835F" w14:textId="25C8D456" w:rsidR="00DF73A8" w:rsidRDefault="00DF73A8" w:rsidP="00824CE4">
      <w:pPr>
        <w:pStyle w:val="Caption"/>
        <w:jc w:val="both"/>
      </w:pPr>
      <w:bookmarkStart w:id="2" w:name="_Ref275278421"/>
      <w:r>
        <w:t xml:space="preserve">Figure </w:t>
      </w:r>
      <w:r w:rsidR="00077F03">
        <w:fldChar w:fldCharType="begin"/>
      </w:r>
      <w:r w:rsidR="00077F03">
        <w:instrText xml:space="preserve"> SEQ Figure \* ARABIC </w:instrText>
      </w:r>
      <w:r w:rsidR="00077F03">
        <w:fldChar w:fldCharType="separate"/>
      </w:r>
      <w:r w:rsidR="00934CA1">
        <w:rPr>
          <w:noProof/>
        </w:rPr>
        <w:t>2</w:t>
      </w:r>
      <w:r w:rsidR="00077F03">
        <w:rPr>
          <w:noProof/>
        </w:rPr>
        <w:fldChar w:fldCharType="end"/>
      </w:r>
      <w:bookmarkEnd w:id="2"/>
      <w:r>
        <w:t xml:space="preserve">:  RGA ion currents and their sum (dotted green) plotted with the mean of the cold-cathode gauges (blue).  </w:t>
      </w:r>
      <w:r w:rsidR="00A12C3A">
        <w:t>Conversion coefficient is based on the time averages over the test duration.</w:t>
      </w:r>
      <w:r>
        <w:t xml:space="preserve"> </w:t>
      </w:r>
      <w:r w:rsidR="00FE63F6">
        <w:t>Each</w:t>
      </w:r>
      <w:r>
        <w:t xml:space="preserve"> ion current h</w:t>
      </w:r>
      <w:r w:rsidR="00FE63F6">
        <w:t xml:space="preserve">as been corrected to remove </w:t>
      </w:r>
      <w:r>
        <w:t xml:space="preserve">preamplifier </w:t>
      </w:r>
      <w:r w:rsidR="00FE63F6">
        <w:t>offset</w:t>
      </w:r>
      <w:r w:rsidR="003075A0">
        <w:t>,</w:t>
      </w:r>
      <w:r w:rsidR="00A12C3A">
        <w:t xml:space="preserve"> </w:t>
      </w:r>
      <w:r w:rsidR="003075A0">
        <w:t xml:space="preserve">derived from the 5 AMU null channel (typically </w:t>
      </w:r>
      <w:r w:rsidR="00101A46">
        <w:t xml:space="preserve">about </w:t>
      </w:r>
      <w:r w:rsidR="00440F9D">
        <w:t xml:space="preserve">100 fA, or </w:t>
      </w:r>
      <w:r w:rsidR="00101A46">
        <w:t>4</w:t>
      </w:r>
      <w:r w:rsidR="003075A0">
        <w:t xml:space="preserve"> x 10</w:t>
      </w:r>
      <w:r w:rsidR="003075A0" w:rsidRPr="00DF73A8">
        <w:rPr>
          <w:vertAlign w:val="superscript"/>
        </w:rPr>
        <w:t>-9</w:t>
      </w:r>
      <w:r w:rsidR="003075A0">
        <w:t xml:space="preserve"> Torr on this scale)</w:t>
      </w:r>
      <w:r w:rsidR="00A12C3A">
        <w:t xml:space="preserve">. </w:t>
      </w:r>
    </w:p>
    <w:p w14:paraId="622436D2" w14:textId="77777777" w:rsidR="001D53A7" w:rsidRDefault="001D53A7" w:rsidP="00A33494"/>
    <w:p w14:paraId="53D9BAB8" w14:textId="77777777" w:rsidR="001D53A7" w:rsidRDefault="001D53A7" w:rsidP="001D53A7">
      <w:pPr>
        <w:keepNext/>
        <w:jc w:val="center"/>
      </w:pPr>
      <w:r>
        <w:rPr>
          <w:noProof/>
        </w:rPr>
        <w:drawing>
          <wp:inline distT="0" distB="0" distL="0" distR="0" wp14:anchorId="66037781" wp14:editId="4EE1610E">
            <wp:extent cx="3987800" cy="3298830"/>
            <wp:effectExtent l="0" t="0" r="0" b="3175"/>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89508" cy="3300243"/>
                    </a:xfrm>
                    <a:prstGeom prst="rect">
                      <a:avLst/>
                    </a:prstGeom>
                    <a:noFill/>
                    <a:ln>
                      <a:noFill/>
                    </a:ln>
                  </pic:spPr>
                </pic:pic>
              </a:graphicData>
            </a:graphic>
          </wp:inline>
        </w:drawing>
      </w:r>
    </w:p>
    <w:p w14:paraId="2257F740" w14:textId="0EDC7BC0" w:rsidR="001D53A7" w:rsidRDefault="001D53A7" w:rsidP="0087768D">
      <w:pPr>
        <w:pStyle w:val="Caption"/>
        <w:jc w:val="both"/>
      </w:pPr>
      <w:bookmarkStart w:id="3" w:name="_Ref275196198"/>
      <w:bookmarkStart w:id="4" w:name="_Ref275196193"/>
      <w:r>
        <w:t xml:space="preserve">Figure </w:t>
      </w:r>
      <w:r w:rsidR="00077F03">
        <w:fldChar w:fldCharType="begin"/>
      </w:r>
      <w:r w:rsidR="00077F03">
        <w:instrText xml:space="preserve"> SEQ Figure \* ARABIC </w:instrText>
      </w:r>
      <w:r w:rsidR="00077F03">
        <w:fldChar w:fldCharType="separate"/>
      </w:r>
      <w:r w:rsidR="00934CA1">
        <w:rPr>
          <w:noProof/>
        </w:rPr>
        <w:t>3</w:t>
      </w:r>
      <w:r w:rsidR="00077F03">
        <w:rPr>
          <w:noProof/>
        </w:rPr>
        <w:fldChar w:fldCharType="end"/>
      </w:r>
      <w:bookmarkEnd w:id="3"/>
      <w:r>
        <w:t>:</w:t>
      </w:r>
      <w:r w:rsidR="00600F94">
        <w:t xml:space="preserve"> Expanded view of RGA </w:t>
      </w:r>
      <w:r w:rsidR="0087768D">
        <w:t>currents (scaled by 4.1x104 Torr/A) along with the mean of the eight cold-cathode gauge pressures. Data from t &lt; 30h were not analyzed due to the errant pump transient, but are shown here to emphasize the discrepancy between RGA cold-cathode measurements.</w:t>
      </w:r>
      <w:bookmarkEnd w:id="4"/>
      <w:r w:rsidR="0087768D">
        <w:t xml:space="preserve">  </w:t>
      </w:r>
    </w:p>
    <w:sectPr w:rsidR="001D53A7" w:rsidSect="000F618D">
      <w:footerReference w:type="default" r:id="rId14"/>
      <w:pgSz w:w="12240" w:h="15840" w:code="1"/>
      <w:pgMar w:top="1267" w:right="1800" w:bottom="1440" w:left="1800" w:header="720" w:footer="432"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FD82DB5" w14:textId="77777777" w:rsidR="00054B9B" w:rsidRDefault="00054B9B">
      <w:r>
        <w:separator/>
      </w:r>
    </w:p>
  </w:endnote>
  <w:endnote w:type="continuationSeparator" w:id="0">
    <w:p w14:paraId="6A925DE7" w14:textId="77777777" w:rsidR="00054B9B" w:rsidRDefault="00054B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494EBD" w14:textId="77777777" w:rsidR="00054B9B" w:rsidRDefault="00054B9B">
    <w:pPr>
      <w:pStyle w:val="Footer"/>
      <w:tabs>
        <w:tab w:val="clear" w:pos="4320"/>
        <w:tab w:val="clear" w:pos="8640"/>
        <w:tab w:val="left" w:pos="3060"/>
        <w:tab w:val="left" w:pos="7830"/>
      </w:tabs>
    </w:pPr>
    <w:r>
      <w:rPr>
        <w:rFonts w:ascii="Arial" w:hAnsi="Arial"/>
        <w:i/>
        <w:sz w:val="14"/>
      </w:rPr>
      <w:tab/>
      <w:t>CALIFORNIA INSTITUTE OF TECHNOLOGY</w:t>
    </w:r>
    <w:r>
      <w:rPr>
        <w:rFonts w:ascii="Arial" w:hAnsi="Arial"/>
        <w:i/>
        <w:sz w:val="14"/>
      </w:rPr>
      <w:tab/>
    </w:r>
    <w:r>
      <w:rPr>
        <w:rFonts w:ascii="Arial" w:hAnsi="Arial"/>
        <w:snapToGrid w:val="0"/>
        <w:sz w:val="14"/>
      </w:rPr>
      <w:t xml:space="preserve">Page </w:t>
    </w:r>
    <w:r>
      <w:rPr>
        <w:rFonts w:ascii="Arial" w:hAnsi="Arial"/>
        <w:snapToGrid w:val="0"/>
        <w:sz w:val="14"/>
      </w:rPr>
      <w:fldChar w:fldCharType="begin"/>
    </w:r>
    <w:r>
      <w:rPr>
        <w:rFonts w:ascii="Arial" w:hAnsi="Arial"/>
        <w:snapToGrid w:val="0"/>
        <w:sz w:val="14"/>
      </w:rPr>
      <w:instrText xml:space="preserve"> PAGE </w:instrText>
    </w:r>
    <w:r>
      <w:rPr>
        <w:rFonts w:ascii="Arial" w:hAnsi="Arial"/>
        <w:snapToGrid w:val="0"/>
        <w:sz w:val="14"/>
      </w:rPr>
      <w:fldChar w:fldCharType="separate"/>
    </w:r>
    <w:r w:rsidR="00077F03">
      <w:rPr>
        <w:rFonts w:ascii="Arial" w:hAnsi="Arial"/>
        <w:noProof/>
        <w:snapToGrid w:val="0"/>
        <w:sz w:val="14"/>
      </w:rPr>
      <w:t>1</w:t>
    </w:r>
    <w:r>
      <w:rPr>
        <w:rFonts w:ascii="Arial" w:hAnsi="Arial"/>
        <w:snapToGrid w:val="0"/>
        <w:sz w:val="14"/>
      </w:rPr>
      <w:fldChar w:fldCharType="end"/>
    </w:r>
    <w:r>
      <w:rPr>
        <w:rFonts w:ascii="Arial" w:hAnsi="Arial"/>
        <w:snapToGrid w:val="0"/>
        <w:sz w:val="14"/>
      </w:rPr>
      <w:t xml:space="preserve"> of </w:t>
    </w:r>
    <w:r>
      <w:rPr>
        <w:rFonts w:ascii="Arial" w:hAnsi="Arial"/>
        <w:snapToGrid w:val="0"/>
        <w:sz w:val="14"/>
      </w:rPr>
      <w:fldChar w:fldCharType="begin"/>
    </w:r>
    <w:r>
      <w:rPr>
        <w:rFonts w:ascii="Arial" w:hAnsi="Arial"/>
        <w:snapToGrid w:val="0"/>
        <w:sz w:val="14"/>
      </w:rPr>
      <w:instrText xml:space="preserve"> NUMPAGES </w:instrText>
    </w:r>
    <w:r>
      <w:rPr>
        <w:rFonts w:ascii="Arial" w:hAnsi="Arial"/>
        <w:snapToGrid w:val="0"/>
        <w:sz w:val="14"/>
      </w:rPr>
      <w:fldChar w:fldCharType="separate"/>
    </w:r>
    <w:r w:rsidR="00077F03">
      <w:rPr>
        <w:rFonts w:ascii="Arial" w:hAnsi="Arial"/>
        <w:noProof/>
        <w:snapToGrid w:val="0"/>
        <w:sz w:val="14"/>
      </w:rPr>
      <w:t>1</w:t>
    </w:r>
    <w:r>
      <w:rPr>
        <w:rFonts w:ascii="Arial" w:hAnsi="Arial"/>
        <w:snapToGrid w:val="0"/>
        <w:sz w:val="14"/>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CF85EFA" w14:textId="77777777" w:rsidR="00054B9B" w:rsidRDefault="00054B9B">
      <w:r>
        <w:separator/>
      </w:r>
    </w:p>
  </w:footnote>
  <w:footnote w:type="continuationSeparator" w:id="0">
    <w:p w14:paraId="308D1BE6" w14:textId="77777777" w:rsidR="00054B9B" w:rsidRDefault="00054B9B">
      <w:r>
        <w:continuationSeparator/>
      </w:r>
    </w:p>
  </w:footnote>
  <w:footnote w:id="1">
    <w:p w14:paraId="11E5539D" w14:textId="22C7159E" w:rsidR="00054B9B" w:rsidRPr="002F2515" w:rsidRDefault="00054B9B">
      <w:pPr>
        <w:pStyle w:val="FootnoteText"/>
        <w:rPr>
          <w:sz w:val="20"/>
          <w:szCs w:val="20"/>
        </w:rPr>
      </w:pPr>
      <w:r w:rsidRPr="002F2515">
        <w:rPr>
          <w:rStyle w:val="FootnoteReference"/>
          <w:sz w:val="20"/>
          <w:szCs w:val="20"/>
        </w:rPr>
        <w:footnoteRef/>
      </w:r>
      <w:r w:rsidRPr="002F2515">
        <w:rPr>
          <w:sz w:val="20"/>
          <w:szCs w:val="20"/>
        </w:rPr>
        <w:t xml:space="preserve"> </w:t>
      </w:r>
      <w:hyperlink r:id="rId1" w:history="1">
        <w:r w:rsidRPr="002F2515">
          <w:rPr>
            <w:rStyle w:val="Hyperlink"/>
            <w:sz w:val="20"/>
            <w:szCs w:val="20"/>
          </w:rPr>
          <w:t>LIGO-G1300116</w:t>
        </w:r>
      </w:hyperlink>
      <w:r>
        <w:rPr>
          <w:sz w:val="20"/>
          <w:szCs w:val="20"/>
        </w:rPr>
        <w:t>,  p.43. Note that the H</w:t>
      </w:r>
      <w:r w:rsidRPr="002F2515">
        <w:rPr>
          <w:sz w:val="20"/>
          <w:szCs w:val="20"/>
          <w:vertAlign w:val="subscript"/>
        </w:rPr>
        <w:t>2</w:t>
      </w:r>
      <w:r>
        <w:rPr>
          <w:sz w:val="20"/>
          <w:szCs w:val="20"/>
        </w:rPr>
        <w:t xml:space="preserve"> figure for Livingston Y2 is missing a decimal point. The correct value is 2.6 x 10</w:t>
      </w:r>
      <w:r w:rsidRPr="002F2515">
        <w:rPr>
          <w:sz w:val="20"/>
          <w:szCs w:val="20"/>
          <w:vertAlign w:val="superscript"/>
        </w:rPr>
        <w:t>-14</w:t>
      </w:r>
      <w:r>
        <w:rPr>
          <w:sz w:val="20"/>
          <w:szCs w:val="20"/>
        </w:rPr>
        <w:t xml:space="preserve"> Tl/s/cm</w:t>
      </w:r>
      <w:r w:rsidRPr="002F2515">
        <w:rPr>
          <w:sz w:val="20"/>
          <w:szCs w:val="20"/>
          <w:vertAlign w:val="superscript"/>
        </w:rPr>
        <w:t>2</w:t>
      </w:r>
      <w:r w:rsidRPr="002F2515">
        <w:rPr>
          <w:sz w:val="20"/>
          <w:szCs w:val="20"/>
        </w:rPr>
        <w:t xml:space="preserve"> .</w:t>
      </w:r>
      <w:r>
        <w:rPr>
          <w:sz w:val="20"/>
          <w:szCs w:val="20"/>
        </w:rPr>
        <w:t xml:space="preserve">    cva</w:t>
      </w:r>
      <w:r>
        <w:rPr>
          <w:sz w:val="20"/>
          <w:szCs w:val="20"/>
        </w:rPr>
        <w:tab/>
      </w:r>
    </w:p>
  </w:footnote>
  <w:footnote w:id="2">
    <w:p w14:paraId="36C72CFA" w14:textId="65C6C13D" w:rsidR="00054B9B" w:rsidRDefault="00054B9B" w:rsidP="00C75EF8">
      <w:r>
        <w:rPr>
          <w:rStyle w:val="FootnoteReference"/>
        </w:rPr>
        <w:footnoteRef/>
      </w:r>
      <w:r>
        <w:t xml:space="preserve"> </w:t>
      </w:r>
      <w:r w:rsidRPr="00C75EF8">
        <w:rPr>
          <w:i/>
        </w:rPr>
        <w:t>Basic Vacuum Technology</w:t>
      </w:r>
      <w:r>
        <w:t xml:space="preserve"> </w:t>
      </w:r>
      <w:r w:rsidRPr="00223BB2">
        <w:rPr>
          <w:i/>
        </w:rPr>
        <w:t>2nd ed.</w:t>
      </w:r>
      <w:r>
        <w:t xml:space="preserve"> </w:t>
      </w:r>
      <w:r>
        <w:rPr>
          <w:rStyle w:val="addmd"/>
        </w:rPr>
        <w:t>A. Chambers, R.K. Fitch and B.S. Halliday. IOP (1998), p. 96.</w:t>
      </w:r>
    </w:p>
  </w:footnote>
  <w:footnote w:id="3">
    <w:p w14:paraId="37BF4F2B" w14:textId="25AC8067" w:rsidR="00054B9B" w:rsidRDefault="00054B9B" w:rsidP="00223BB2">
      <w:pPr>
        <w:rPr>
          <w:rFonts w:ascii="Times" w:hAnsi="Times" w:cs="Times"/>
          <w:sz w:val="24"/>
          <w:szCs w:val="24"/>
        </w:rPr>
      </w:pPr>
      <w:r>
        <w:rPr>
          <w:rStyle w:val="FootnoteReference"/>
        </w:rPr>
        <w:footnoteRef/>
      </w:r>
      <w:r>
        <w:t xml:space="preserve"> </w:t>
      </w:r>
      <w:r w:rsidRPr="00223BB2">
        <w:t xml:space="preserve">Detian Li and K. Jousten, </w:t>
      </w:r>
      <w:r w:rsidRPr="00223BB2">
        <w:rPr>
          <w:i/>
        </w:rPr>
        <w:t xml:space="preserve">Vacuum </w:t>
      </w:r>
      <w:r w:rsidRPr="00223BB2">
        <w:t>70 (2003)</w:t>
      </w:r>
      <w:r>
        <w:t>,</w:t>
      </w:r>
      <w:r w:rsidRPr="00223BB2">
        <w:t xml:space="preserve"> </w:t>
      </w:r>
      <w:r>
        <w:t xml:space="preserve">p. </w:t>
      </w:r>
      <w:r w:rsidRPr="00223BB2">
        <w:t>531–541.</w:t>
      </w:r>
      <w:r>
        <w:rPr>
          <w:rFonts w:ascii="Times" w:hAnsi="Times" w:cs="Times"/>
          <w:sz w:val="30"/>
          <w:szCs w:val="30"/>
        </w:rPr>
        <w:t xml:space="preserve"> </w:t>
      </w:r>
    </w:p>
    <w:p w14:paraId="283419A1" w14:textId="230F3A8B" w:rsidR="00054B9B" w:rsidRDefault="00054B9B">
      <w:pPr>
        <w:pStyle w:val="FootnoteText"/>
      </w:pP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23"/>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9F933BA"/>
    <w:multiLevelType w:val="hybridMultilevel"/>
    <w:tmpl w:val="5D9A550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11023137"/>
    <w:multiLevelType w:val="hybridMultilevel"/>
    <w:tmpl w:val="8F7E7C0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170E2CEF"/>
    <w:multiLevelType w:val="hybridMultilevel"/>
    <w:tmpl w:val="20E8E89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1A2002E1"/>
    <w:multiLevelType w:val="hybridMultilevel"/>
    <w:tmpl w:val="4412E99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43665915"/>
    <w:multiLevelType w:val="hybridMultilevel"/>
    <w:tmpl w:val="827AFAC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440249B3"/>
    <w:multiLevelType w:val="hybridMultilevel"/>
    <w:tmpl w:val="4678D13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4DE338EE"/>
    <w:multiLevelType w:val="hybridMultilevel"/>
    <w:tmpl w:val="7E3A104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57564E03"/>
    <w:multiLevelType w:val="hybridMultilevel"/>
    <w:tmpl w:val="2200C4C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59A42A36"/>
    <w:multiLevelType w:val="hybridMultilevel"/>
    <w:tmpl w:val="2038551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642F2902"/>
    <w:multiLevelType w:val="hybridMultilevel"/>
    <w:tmpl w:val="EAD80AA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651075FC"/>
    <w:multiLevelType w:val="hybridMultilevel"/>
    <w:tmpl w:val="51429F9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790F0E51"/>
    <w:multiLevelType w:val="hybridMultilevel"/>
    <w:tmpl w:val="E918BBE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7B2D2FE1"/>
    <w:multiLevelType w:val="hybridMultilevel"/>
    <w:tmpl w:val="05C24CF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8"/>
  </w:num>
  <w:num w:numId="3">
    <w:abstractNumId w:val="11"/>
  </w:num>
  <w:num w:numId="4">
    <w:abstractNumId w:val="6"/>
  </w:num>
  <w:num w:numId="5">
    <w:abstractNumId w:val="12"/>
  </w:num>
  <w:num w:numId="6">
    <w:abstractNumId w:val="10"/>
  </w:num>
  <w:num w:numId="7">
    <w:abstractNumId w:val="9"/>
  </w:num>
  <w:num w:numId="8">
    <w:abstractNumId w:val="3"/>
  </w:num>
  <w:num w:numId="9">
    <w:abstractNumId w:val="7"/>
  </w:num>
  <w:num w:numId="10">
    <w:abstractNumId w:val="13"/>
  </w:num>
  <w:num w:numId="11">
    <w:abstractNumId w:val="5"/>
  </w:num>
  <w:num w:numId="12">
    <w:abstractNumId w:val="4"/>
  </w:num>
  <w:num w:numId="13">
    <w:abstractNumId w:val="1"/>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efaultTabStop w:val="720"/>
  <w:displayHorizontalDrawingGridEvery w:val="0"/>
  <w:displayVerticalDrawingGridEvery w:val="0"/>
  <w:doNotUseMarginsForDrawingGridOrigin/>
  <w:noPunctuationKerning/>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4A76"/>
    <w:rsid w:val="0000080A"/>
    <w:rsid w:val="000068A8"/>
    <w:rsid w:val="00010DB5"/>
    <w:rsid w:val="0001263D"/>
    <w:rsid w:val="00016077"/>
    <w:rsid w:val="00026B7B"/>
    <w:rsid w:val="00054B9B"/>
    <w:rsid w:val="00077F03"/>
    <w:rsid w:val="00085959"/>
    <w:rsid w:val="00097657"/>
    <w:rsid w:val="000A1BC1"/>
    <w:rsid w:val="000A1F85"/>
    <w:rsid w:val="000B6C4B"/>
    <w:rsid w:val="000F45A3"/>
    <w:rsid w:val="000F618D"/>
    <w:rsid w:val="00101A46"/>
    <w:rsid w:val="00124677"/>
    <w:rsid w:val="00124D94"/>
    <w:rsid w:val="00137F7C"/>
    <w:rsid w:val="001704F6"/>
    <w:rsid w:val="00182071"/>
    <w:rsid w:val="00185BCB"/>
    <w:rsid w:val="0019244B"/>
    <w:rsid w:val="001C10D1"/>
    <w:rsid w:val="001C3A06"/>
    <w:rsid w:val="001D53A7"/>
    <w:rsid w:val="001E35A8"/>
    <w:rsid w:val="001F2185"/>
    <w:rsid w:val="001F4822"/>
    <w:rsid w:val="0020292A"/>
    <w:rsid w:val="00212A33"/>
    <w:rsid w:val="00223BB2"/>
    <w:rsid w:val="00227481"/>
    <w:rsid w:val="00236C79"/>
    <w:rsid w:val="00244CE6"/>
    <w:rsid w:val="00257B14"/>
    <w:rsid w:val="00257B82"/>
    <w:rsid w:val="002749E3"/>
    <w:rsid w:val="0028269C"/>
    <w:rsid w:val="002A73DA"/>
    <w:rsid w:val="002C1668"/>
    <w:rsid w:val="002C1EF4"/>
    <w:rsid w:val="002D237F"/>
    <w:rsid w:val="002F1368"/>
    <w:rsid w:val="002F2515"/>
    <w:rsid w:val="002F6423"/>
    <w:rsid w:val="00306AC3"/>
    <w:rsid w:val="003075A0"/>
    <w:rsid w:val="00314D6D"/>
    <w:rsid w:val="003234A5"/>
    <w:rsid w:val="00323D25"/>
    <w:rsid w:val="00342194"/>
    <w:rsid w:val="00342BD4"/>
    <w:rsid w:val="003478D0"/>
    <w:rsid w:val="003606CE"/>
    <w:rsid w:val="003613A8"/>
    <w:rsid w:val="003616C3"/>
    <w:rsid w:val="00366A5D"/>
    <w:rsid w:val="00366DB6"/>
    <w:rsid w:val="00376C04"/>
    <w:rsid w:val="003A770C"/>
    <w:rsid w:val="003C6EE5"/>
    <w:rsid w:val="003D2CAE"/>
    <w:rsid w:val="00404A09"/>
    <w:rsid w:val="004320B8"/>
    <w:rsid w:val="00440F9D"/>
    <w:rsid w:val="00495D73"/>
    <w:rsid w:val="004B0263"/>
    <w:rsid w:val="004B79F6"/>
    <w:rsid w:val="004E3F02"/>
    <w:rsid w:val="00501AB7"/>
    <w:rsid w:val="00516164"/>
    <w:rsid w:val="00544D8D"/>
    <w:rsid w:val="0055110B"/>
    <w:rsid w:val="00570F0A"/>
    <w:rsid w:val="0058216A"/>
    <w:rsid w:val="005859C8"/>
    <w:rsid w:val="00587AFA"/>
    <w:rsid w:val="00594D29"/>
    <w:rsid w:val="005959A7"/>
    <w:rsid w:val="005A668D"/>
    <w:rsid w:val="005A7AD7"/>
    <w:rsid w:val="005B29AB"/>
    <w:rsid w:val="005B2EC0"/>
    <w:rsid w:val="005D6516"/>
    <w:rsid w:val="00600F94"/>
    <w:rsid w:val="006069D2"/>
    <w:rsid w:val="006144E0"/>
    <w:rsid w:val="00631F58"/>
    <w:rsid w:val="0064424C"/>
    <w:rsid w:val="00645089"/>
    <w:rsid w:val="00647F1E"/>
    <w:rsid w:val="00662DDD"/>
    <w:rsid w:val="0067658E"/>
    <w:rsid w:val="00685AD8"/>
    <w:rsid w:val="0069038E"/>
    <w:rsid w:val="00691EB6"/>
    <w:rsid w:val="0069323F"/>
    <w:rsid w:val="00697CF4"/>
    <w:rsid w:val="006A447A"/>
    <w:rsid w:val="006B029A"/>
    <w:rsid w:val="006B7E69"/>
    <w:rsid w:val="006C06D7"/>
    <w:rsid w:val="006C48D3"/>
    <w:rsid w:val="006D4C7C"/>
    <w:rsid w:val="006F2D8E"/>
    <w:rsid w:val="00714000"/>
    <w:rsid w:val="007355DA"/>
    <w:rsid w:val="00753F77"/>
    <w:rsid w:val="00754EE5"/>
    <w:rsid w:val="007916F9"/>
    <w:rsid w:val="007B36AA"/>
    <w:rsid w:val="007B7F9C"/>
    <w:rsid w:val="007F16D2"/>
    <w:rsid w:val="00824CE4"/>
    <w:rsid w:val="00865CDC"/>
    <w:rsid w:val="00874633"/>
    <w:rsid w:val="0087695C"/>
    <w:rsid w:val="0087768D"/>
    <w:rsid w:val="00880F08"/>
    <w:rsid w:val="00896DF9"/>
    <w:rsid w:val="008B679C"/>
    <w:rsid w:val="008C4BC3"/>
    <w:rsid w:val="008D4698"/>
    <w:rsid w:val="008F48D2"/>
    <w:rsid w:val="00906695"/>
    <w:rsid w:val="00907BE3"/>
    <w:rsid w:val="00914FC6"/>
    <w:rsid w:val="009153FC"/>
    <w:rsid w:val="00917F3B"/>
    <w:rsid w:val="00930903"/>
    <w:rsid w:val="009316DB"/>
    <w:rsid w:val="00932B57"/>
    <w:rsid w:val="00934CA1"/>
    <w:rsid w:val="00944C50"/>
    <w:rsid w:val="009500F5"/>
    <w:rsid w:val="009663A1"/>
    <w:rsid w:val="00970FFC"/>
    <w:rsid w:val="009840FA"/>
    <w:rsid w:val="009D5E4E"/>
    <w:rsid w:val="009E5BDC"/>
    <w:rsid w:val="009F07A0"/>
    <w:rsid w:val="009F6583"/>
    <w:rsid w:val="00A0235C"/>
    <w:rsid w:val="00A12C3A"/>
    <w:rsid w:val="00A177A9"/>
    <w:rsid w:val="00A33494"/>
    <w:rsid w:val="00A368D0"/>
    <w:rsid w:val="00A403D2"/>
    <w:rsid w:val="00A431CC"/>
    <w:rsid w:val="00A51CCF"/>
    <w:rsid w:val="00A84281"/>
    <w:rsid w:val="00A95492"/>
    <w:rsid w:val="00AA7427"/>
    <w:rsid w:val="00AE46D8"/>
    <w:rsid w:val="00AE5A3E"/>
    <w:rsid w:val="00AE6A0D"/>
    <w:rsid w:val="00B1671B"/>
    <w:rsid w:val="00B20566"/>
    <w:rsid w:val="00B21545"/>
    <w:rsid w:val="00B52B2E"/>
    <w:rsid w:val="00B558DD"/>
    <w:rsid w:val="00B76377"/>
    <w:rsid w:val="00B7726A"/>
    <w:rsid w:val="00B875BD"/>
    <w:rsid w:val="00B9593C"/>
    <w:rsid w:val="00BD346B"/>
    <w:rsid w:val="00BE4A76"/>
    <w:rsid w:val="00C217FC"/>
    <w:rsid w:val="00C31CE8"/>
    <w:rsid w:val="00C37901"/>
    <w:rsid w:val="00C74DE6"/>
    <w:rsid w:val="00C75EF8"/>
    <w:rsid w:val="00C820C1"/>
    <w:rsid w:val="00C83DC4"/>
    <w:rsid w:val="00C936B5"/>
    <w:rsid w:val="00CA646E"/>
    <w:rsid w:val="00CB1CDF"/>
    <w:rsid w:val="00CD4EFC"/>
    <w:rsid w:val="00CD62C4"/>
    <w:rsid w:val="00CE522F"/>
    <w:rsid w:val="00CE714B"/>
    <w:rsid w:val="00CF5317"/>
    <w:rsid w:val="00D016AA"/>
    <w:rsid w:val="00D04A86"/>
    <w:rsid w:val="00D20438"/>
    <w:rsid w:val="00D572F4"/>
    <w:rsid w:val="00D64D76"/>
    <w:rsid w:val="00D65FFA"/>
    <w:rsid w:val="00D85580"/>
    <w:rsid w:val="00DA2F6C"/>
    <w:rsid w:val="00DC0489"/>
    <w:rsid w:val="00DC6864"/>
    <w:rsid w:val="00DF73A8"/>
    <w:rsid w:val="00E022BA"/>
    <w:rsid w:val="00E13A60"/>
    <w:rsid w:val="00E52DFE"/>
    <w:rsid w:val="00E537B7"/>
    <w:rsid w:val="00E6693C"/>
    <w:rsid w:val="00E70EAE"/>
    <w:rsid w:val="00E71C1F"/>
    <w:rsid w:val="00E777BB"/>
    <w:rsid w:val="00EA3304"/>
    <w:rsid w:val="00EA3C5B"/>
    <w:rsid w:val="00EB409F"/>
    <w:rsid w:val="00F0237C"/>
    <w:rsid w:val="00F07132"/>
    <w:rsid w:val="00F247EC"/>
    <w:rsid w:val="00F4433F"/>
    <w:rsid w:val="00F71C1A"/>
    <w:rsid w:val="00F87911"/>
    <w:rsid w:val="00F94C6C"/>
    <w:rsid w:val="00FA2841"/>
    <w:rsid w:val="00FD4752"/>
    <w:rsid w:val="00FD6D66"/>
    <w:rsid w:val="00FE63F6"/>
    <w:rsid w:val="00FF37F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oNotEmbedSmartTags/>
  <w:decimalSymbol w:val="."/>
  <w:listSeparator w:val=","/>
  <w14:docId w14:val="663A518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C75EF8"/>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qFormat/>
    <w:pPr>
      <w:keepNext/>
      <w:spacing w:before="240" w:after="60"/>
      <w:outlineLvl w:val="1"/>
    </w:pPr>
    <w:rPr>
      <w:rFonts w:ascii="Helvetica" w:hAnsi="Helvetica"/>
      <w:b/>
      <w:i/>
      <w:sz w:val="28"/>
    </w:rPr>
  </w:style>
  <w:style w:type="paragraph" w:styleId="Heading3">
    <w:name w:val="heading 3"/>
    <w:basedOn w:val="Normal"/>
    <w:next w:val="Normal"/>
    <w:qFormat/>
    <w:pPr>
      <w:keepNext/>
      <w:spacing w:before="240" w:after="60"/>
      <w:outlineLvl w:val="2"/>
    </w:pPr>
    <w:rPr>
      <w:rFonts w:ascii="Helvetica" w:hAnsi="Helvetica"/>
      <w:b/>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Normal"/>
    <w:rPr>
      <w:rFonts w:ascii="Arial" w:hAnsi="Arial"/>
      <w:sz w:val="24"/>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customStyle="1" w:styleId="RegPara">
    <w:name w:val="Reg Para"/>
    <w:basedOn w:val="Normal"/>
    <w:pPr>
      <w:tabs>
        <w:tab w:val="left" w:pos="1080"/>
      </w:tabs>
    </w:pPr>
    <w:rPr>
      <w:sz w:val="24"/>
    </w:rPr>
  </w:style>
  <w:style w:type="paragraph" w:styleId="BodyText">
    <w:name w:val="Body Text"/>
    <w:basedOn w:val="Normal"/>
    <w:rPr>
      <w:rFonts w:ascii="Arial" w:hAnsi="Arial"/>
      <w:b/>
      <w:sz w:val="12"/>
    </w:rPr>
  </w:style>
  <w:style w:type="paragraph" w:styleId="FootnoteText">
    <w:name w:val="footnote text"/>
    <w:basedOn w:val="Normal"/>
    <w:semiHidden/>
    <w:rsid w:val="00BE4A76"/>
    <w:rPr>
      <w:sz w:val="24"/>
      <w:szCs w:val="24"/>
    </w:rPr>
  </w:style>
  <w:style w:type="character" w:styleId="FootnoteReference">
    <w:name w:val="footnote reference"/>
    <w:basedOn w:val="DefaultParagraphFont"/>
    <w:semiHidden/>
    <w:rsid w:val="00BE4A76"/>
    <w:rPr>
      <w:vertAlign w:val="superscript"/>
    </w:rPr>
  </w:style>
  <w:style w:type="character" w:styleId="Hyperlink">
    <w:name w:val="Hyperlink"/>
    <w:basedOn w:val="DefaultParagraphFont"/>
    <w:rsid w:val="00BE4A76"/>
    <w:rPr>
      <w:color w:val="0000FF"/>
      <w:u w:val="single"/>
    </w:rPr>
  </w:style>
  <w:style w:type="character" w:styleId="FollowedHyperlink">
    <w:name w:val="FollowedHyperlink"/>
    <w:basedOn w:val="DefaultParagraphFont"/>
    <w:rsid w:val="00BE4A76"/>
    <w:rPr>
      <w:color w:val="800080"/>
      <w:u w:val="single"/>
    </w:rPr>
  </w:style>
  <w:style w:type="table" w:styleId="TableGrid">
    <w:name w:val="Table Grid"/>
    <w:basedOn w:val="TableNormal"/>
    <w:rsid w:val="0051765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qFormat/>
    <w:rsid w:val="00517658"/>
    <w:pPr>
      <w:spacing w:before="120" w:after="120"/>
    </w:pPr>
    <w:rPr>
      <w:b/>
    </w:rPr>
  </w:style>
  <w:style w:type="paragraph" w:styleId="BalloonText">
    <w:name w:val="Balloon Text"/>
    <w:basedOn w:val="Normal"/>
    <w:link w:val="BalloonTextChar"/>
    <w:uiPriority w:val="99"/>
    <w:semiHidden/>
    <w:unhideWhenUsed/>
    <w:rsid w:val="00691EB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91EB6"/>
    <w:rPr>
      <w:rFonts w:ascii="Lucida Grande" w:hAnsi="Lucida Grande" w:cs="Lucida Grande"/>
      <w:sz w:val="18"/>
      <w:szCs w:val="18"/>
    </w:rPr>
  </w:style>
  <w:style w:type="character" w:styleId="PlaceholderText">
    <w:name w:val="Placeholder Text"/>
    <w:basedOn w:val="DefaultParagraphFont"/>
    <w:uiPriority w:val="99"/>
    <w:semiHidden/>
    <w:rsid w:val="00753F77"/>
    <w:rPr>
      <w:color w:val="808080"/>
    </w:rPr>
  </w:style>
  <w:style w:type="table" w:styleId="LightShading">
    <w:name w:val="Light Shading"/>
    <w:basedOn w:val="TableNormal"/>
    <w:uiPriority w:val="60"/>
    <w:rsid w:val="00906695"/>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Heading1Char">
    <w:name w:val="Heading 1 Char"/>
    <w:basedOn w:val="DefaultParagraphFont"/>
    <w:link w:val="Heading1"/>
    <w:uiPriority w:val="9"/>
    <w:rsid w:val="00C75EF8"/>
    <w:rPr>
      <w:rFonts w:asciiTheme="majorHAnsi" w:eastAsiaTheme="majorEastAsia" w:hAnsiTheme="majorHAnsi" w:cstheme="majorBidi"/>
      <w:b/>
      <w:bCs/>
      <w:color w:val="345A8A" w:themeColor="accent1" w:themeShade="B5"/>
      <w:sz w:val="32"/>
      <w:szCs w:val="32"/>
    </w:rPr>
  </w:style>
  <w:style w:type="character" w:customStyle="1" w:styleId="addmd">
    <w:name w:val="addmd"/>
    <w:basedOn w:val="DefaultParagraphFont"/>
    <w:rsid w:val="00C75EF8"/>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C75EF8"/>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qFormat/>
    <w:pPr>
      <w:keepNext/>
      <w:spacing w:before="240" w:after="60"/>
      <w:outlineLvl w:val="1"/>
    </w:pPr>
    <w:rPr>
      <w:rFonts w:ascii="Helvetica" w:hAnsi="Helvetica"/>
      <w:b/>
      <w:i/>
      <w:sz w:val="28"/>
    </w:rPr>
  </w:style>
  <w:style w:type="paragraph" w:styleId="Heading3">
    <w:name w:val="heading 3"/>
    <w:basedOn w:val="Normal"/>
    <w:next w:val="Normal"/>
    <w:qFormat/>
    <w:pPr>
      <w:keepNext/>
      <w:spacing w:before="240" w:after="60"/>
      <w:outlineLvl w:val="2"/>
    </w:pPr>
    <w:rPr>
      <w:rFonts w:ascii="Helvetica" w:hAnsi="Helvetica"/>
      <w:b/>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Normal"/>
    <w:rPr>
      <w:rFonts w:ascii="Arial" w:hAnsi="Arial"/>
      <w:sz w:val="24"/>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customStyle="1" w:styleId="RegPara">
    <w:name w:val="Reg Para"/>
    <w:basedOn w:val="Normal"/>
    <w:pPr>
      <w:tabs>
        <w:tab w:val="left" w:pos="1080"/>
      </w:tabs>
    </w:pPr>
    <w:rPr>
      <w:sz w:val="24"/>
    </w:rPr>
  </w:style>
  <w:style w:type="paragraph" w:styleId="BodyText">
    <w:name w:val="Body Text"/>
    <w:basedOn w:val="Normal"/>
    <w:rPr>
      <w:rFonts w:ascii="Arial" w:hAnsi="Arial"/>
      <w:b/>
      <w:sz w:val="12"/>
    </w:rPr>
  </w:style>
  <w:style w:type="paragraph" w:styleId="FootnoteText">
    <w:name w:val="footnote text"/>
    <w:basedOn w:val="Normal"/>
    <w:semiHidden/>
    <w:rsid w:val="00BE4A76"/>
    <w:rPr>
      <w:sz w:val="24"/>
      <w:szCs w:val="24"/>
    </w:rPr>
  </w:style>
  <w:style w:type="character" w:styleId="FootnoteReference">
    <w:name w:val="footnote reference"/>
    <w:basedOn w:val="DefaultParagraphFont"/>
    <w:semiHidden/>
    <w:rsid w:val="00BE4A76"/>
    <w:rPr>
      <w:vertAlign w:val="superscript"/>
    </w:rPr>
  </w:style>
  <w:style w:type="character" w:styleId="Hyperlink">
    <w:name w:val="Hyperlink"/>
    <w:basedOn w:val="DefaultParagraphFont"/>
    <w:rsid w:val="00BE4A76"/>
    <w:rPr>
      <w:color w:val="0000FF"/>
      <w:u w:val="single"/>
    </w:rPr>
  </w:style>
  <w:style w:type="character" w:styleId="FollowedHyperlink">
    <w:name w:val="FollowedHyperlink"/>
    <w:basedOn w:val="DefaultParagraphFont"/>
    <w:rsid w:val="00BE4A76"/>
    <w:rPr>
      <w:color w:val="800080"/>
      <w:u w:val="single"/>
    </w:rPr>
  </w:style>
  <w:style w:type="table" w:styleId="TableGrid">
    <w:name w:val="Table Grid"/>
    <w:basedOn w:val="TableNormal"/>
    <w:rsid w:val="0051765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qFormat/>
    <w:rsid w:val="00517658"/>
    <w:pPr>
      <w:spacing w:before="120" w:after="120"/>
    </w:pPr>
    <w:rPr>
      <w:b/>
    </w:rPr>
  </w:style>
  <w:style w:type="paragraph" w:styleId="BalloonText">
    <w:name w:val="Balloon Text"/>
    <w:basedOn w:val="Normal"/>
    <w:link w:val="BalloonTextChar"/>
    <w:uiPriority w:val="99"/>
    <w:semiHidden/>
    <w:unhideWhenUsed/>
    <w:rsid w:val="00691EB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91EB6"/>
    <w:rPr>
      <w:rFonts w:ascii="Lucida Grande" w:hAnsi="Lucida Grande" w:cs="Lucida Grande"/>
      <w:sz w:val="18"/>
      <w:szCs w:val="18"/>
    </w:rPr>
  </w:style>
  <w:style w:type="character" w:styleId="PlaceholderText">
    <w:name w:val="Placeholder Text"/>
    <w:basedOn w:val="DefaultParagraphFont"/>
    <w:uiPriority w:val="99"/>
    <w:semiHidden/>
    <w:rsid w:val="00753F77"/>
    <w:rPr>
      <w:color w:val="808080"/>
    </w:rPr>
  </w:style>
  <w:style w:type="table" w:styleId="LightShading">
    <w:name w:val="Light Shading"/>
    <w:basedOn w:val="TableNormal"/>
    <w:uiPriority w:val="60"/>
    <w:rsid w:val="00906695"/>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Heading1Char">
    <w:name w:val="Heading 1 Char"/>
    <w:basedOn w:val="DefaultParagraphFont"/>
    <w:link w:val="Heading1"/>
    <w:uiPriority w:val="9"/>
    <w:rsid w:val="00C75EF8"/>
    <w:rPr>
      <w:rFonts w:asciiTheme="majorHAnsi" w:eastAsiaTheme="majorEastAsia" w:hAnsiTheme="majorHAnsi" w:cstheme="majorBidi"/>
      <w:b/>
      <w:bCs/>
      <w:color w:val="345A8A" w:themeColor="accent1" w:themeShade="B5"/>
      <w:sz w:val="32"/>
      <w:szCs w:val="32"/>
    </w:rPr>
  </w:style>
  <w:style w:type="character" w:customStyle="1" w:styleId="addmd">
    <w:name w:val="addmd"/>
    <w:basedOn w:val="DefaultParagraphFont"/>
    <w:rsid w:val="00C75EF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37876396">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image" Target="media/image2.emf"/><Relationship Id="rId12" Type="http://schemas.openxmlformats.org/officeDocument/2006/relationships/image" Target="media/image3.emf"/><Relationship Id="rId13" Type="http://schemas.openxmlformats.org/officeDocument/2006/relationships/image" Target="media/image4.emf"/><Relationship Id="rId14" Type="http://schemas.openxmlformats.org/officeDocument/2006/relationships/footer" Target="footer1.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emf"/><Relationship Id="rId10" Type="http://schemas.openxmlformats.org/officeDocument/2006/relationships/image" Target="media/image10.emf"/></Relationships>
</file>

<file path=word/_rels/footnotes.xml.rels><?xml version="1.0" encoding="UTF-8" standalone="yes"?>
<Relationships xmlns="http://schemas.openxmlformats.org/package/2006/relationships"><Relationship Id="rId1" Type="http://schemas.openxmlformats.org/officeDocument/2006/relationships/hyperlink" Target="https://dcc.ligo.org/LIGO-G130011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88D509-0147-C24C-9D3F-00B943E900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Pages>
  <Words>1180</Words>
  <Characters>6726</Characters>
  <Application>Microsoft Macintosh Word</Application>
  <DocSecurity>0</DocSecurity>
  <Lines>56</Lines>
  <Paragraphs>15</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        Appendix: Radiometric and photometric quantities</vt:lpstr>
    </vt:vector>
  </TitlesOfParts>
  <Company>CALTECH</Company>
  <LinksUpToDate>false</LinksUpToDate>
  <CharactersWithSpaces>7891</CharactersWithSpaces>
  <SharedDoc>false</SharedDoc>
  <HLinks>
    <vt:vector size="72" baseType="variant">
      <vt:variant>
        <vt:i4>721014</vt:i4>
      </vt:variant>
      <vt:variant>
        <vt:i4>36</vt:i4>
      </vt:variant>
      <vt:variant>
        <vt:i4>0</vt:i4>
      </vt:variant>
      <vt:variant>
        <vt:i4>5</vt:i4>
      </vt:variant>
      <vt:variant>
        <vt:lpwstr>http://en.wikipedia.org/wiki/Photometry_(optics)</vt:lpwstr>
      </vt:variant>
      <vt:variant>
        <vt:lpwstr/>
      </vt:variant>
      <vt:variant>
        <vt:i4>5177410</vt:i4>
      </vt:variant>
      <vt:variant>
        <vt:i4>30</vt:i4>
      </vt:variant>
      <vt:variant>
        <vt:i4>0</vt:i4>
      </vt:variant>
      <vt:variant>
        <vt:i4>5</vt:i4>
      </vt:variant>
      <vt:variant>
        <vt:lpwstr>http://en.wikipedia.org/wiki/Lumen_(unit)</vt:lpwstr>
      </vt:variant>
      <vt:variant>
        <vt:lpwstr/>
      </vt:variant>
      <vt:variant>
        <vt:i4>3997699</vt:i4>
      </vt:variant>
      <vt:variant>
        <vt:i4>12</vt:i4>
      </vt:variant>
      <vt:variant>
        <vt:i4>0</vt:i4>
      </vt:variant>
      <vt:variant>
        <vt:i4>5</vt:i4>
      </vt:variant>
      <vt:variant>
        <vt:lpwstr>https://dcc.ligo.org/cgi-bin/private/DocDB/ShowDocument?docid=735</vt:lpwstr>
      </vt:variant>
      <vt:variant>
        <vt:lpwstr/>
      </vt:variant>
      <vt:variant>
        <vt:i4>3276858</vt:i4>
      </vt:variant>
      <vt:variant>
        <vt:i4>6</vt:i4>
      </vt:variant>
      <vt:variant>
        <vt:i4>0</vt:i4>
      </vt:variant>
      <vt:variant>
        <vt:i4>5</vt:i4>
      </vt:variant>
      <vt:variant>
        <vt:lpwstr>https://dcc.ligo.org/cgi-bin/private/DocDB/ShowDocument?docid=5882</vt:lpwstr>
      </vt:variant>
      <vt:variant>
        <vt:lpwstr/>
      </vt:variant>
      <vt:variant>
        <vt:i4>7667759</vt:i4>
      </vt:variant>
      <vt:variant>
        <vt:i4>18</vt:i4>
      </vt:variant>
      <vt:variant>
        <vt:i4>0</vt:i4>
      </vt:variant>
      <vt:variant>
        <vt:i4>5</vt:i4>
      </vt:variant>
      <vt:variant>
        <vt:lpwstr>http://www.cie.co.at/index.php/index.php?i_ca_id=298</vt:lpwstr>
      </vt:variant>
      <vt:variant>
        <vt:lpwstr/>
      </vt:variant>
      <vt:variant>
        <vt:i4>4325418</vt:i4>
      </vt:variant>
      <vt:variant>
        <vt:i4>15</vt:i4>
      </vt:variant>
      <vt:variant>
        <vt:i4>0</vt:i4>
      </vt:variant>
      <vt:variant>
        <vt:i4>5</vt:i4>
      </vt:variant>
      <vt:variant>
        <vt:lpwstr>http://www.arri.de/fileadmin/media/arri.com/downloads/Lighting/Tungsten_Lampheads/ARRI_Fresnel/ARRI_Junior_650/ARRI_Junior_BRO_E.pdf</vt:lpwstr>
      </vt:variant>
      <vt:variant>
        <vt:lpwstr/>
      </vt:variant>
      <vt:variant>
        <vt:i4>2490468</vt:i4>
      </vt:variant>
      <vt:variant>
        <vt:i4>12</vt:i4>
      </vt:variant>
      <vt:variant>
        <vt:i4>0</vt:i4>
      </vt:variant>
      <vt:variant>
        <vt:i4>5</vt:i4>
      </vt:variant>
      <vt:variant>
        <vt:lpwstr>http://doug.kerr.home.att.net/pumpkin/SOS_REI.pdf</vt:lpwstr>
      </vt:variant>
      <vt:variant>
        <vt:lpwstr/>
      </vt:variant>
      <vt:variant>
        <vt:i4>4915276</vt:i4>
      </vt:variant>
      <vt:variant>
        <vt:i4>9</vt:i4>
      </vt:variant>
      <vt:variant>
        <vt:i4>0</vt:i4>
      </vt:variant>
      <vt:variant>
        <vt:i4>5</vt:i4>
      </vt:variant>
      <vt:variant>
        <vt:lpwstr>http://www.largeformatphotography.info/articles/conrad-meter-cal.pdf</vt:lpwstr>
      </vt:variant>
      <vt:variant>
        <vt:lpwstr/>
      </vt:variant>
      <vt:variant>
        <vt:i4>7209067</vt:i4>
      </vt:variant>
      <vt:variant>
        <vt:i4>6</vt:i4>
      </vt:variant>
      <vt:variant>
        <vt:i4>0</vt:i4>
      </vt:variant>
      <vt:variant>
        <vt:i4>5</vt:i4>
      </vt:variant>
      <vt:variant>
        <vt:lpwstr>http://www.uni-muenster.de/imperia/md/content/ziv/multimedia/downloads/kodak___noise_sources.pdf</vt:lpwstr>
      </vt:variant>
      <vt:variant>
        <vt:lpwstr/>
      </vt:variant>
      <vt:variant>
        <vt:i4>1179765</vt:i4>
      </vt:variant>
      <vt:variant>
        <vt:i4>3</vt:i4>
      </vt:variant>
      <vt:variant>
        <vt:i4>0</vt:i4>
      </vt:variant>
      <vt:variant>
        <vt:i4>5</vt:i4>
      </vt:variant>
      <vt:variant>
        <vt:lpwstr>http://www.kodak.com/global/plugins/acrobat/en/business/ISS/supportdocs/ISOMeasurements.pdf</vt:lpwstr>
      </vt:variant>
      <vt:variant>
        <vt:lpwstr/>
      </vt:variant>
      <vt:variant>
        <vt:i4>3801140</vt:i4>
      </vt:variant>
      <vt:variant>
        <vt:i4>0</vt:i4>
      </vt:variant>
      <vt:variant>
        <vt:i4>0</vt:i4>
      </vt:variant>
      <vt:variant>
        <vt:i4>5</vt:i4>
      </vt:variant>
      <vt:variant>
        <vt:lpwstr>https://dcc.ligo.org/cgi-bin/private/DocDB/ShowDocument?docid=7226</vt:lpwstr>
      </vt:variant>
      <vt:variant>
        <vt:lpwstr/>
      </vt:variant>
      <vt:variant>
        <vt:i4>5505037</vt:i4>
      </vt:variant>
      <vt:variant>
        <vt:i4>13470</vt:i4>
      </vt:variant>
      <vt:variant>
        <vt:i4>1026</vt:i4>
      </vt:variant>
      <vt:variant>
        <vt:i4>1</vt:i4>
      </vt:variant>
      <vt:variant>
        <vt:lpwstr>Ligo_Logo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RITA TORRES, LIGO PROJECT</dc:creator>
  <cp:keywords/>
  <cp:lastModifiedBy>Michael Zucker</cp:lastModifiedBy>
  <cp:revision>4</cp:revision>
  <cp:lastPrinted>2014-10-19T00:02:00Z</cp:lastPrinted>
  <dcterms:created xsi:type="dcterms:W3CDTF">2014-10-19T00:02:00Z</dcterms:created>
  <dcterms:modified xsi:type="dcterms:W3CDTF">2014-10-19T00:04:00Z</dcterms:modified>
</cp:coreProperties>
</file>