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9C075" w14:textId="77777777" w:rsidR="00753F77" w:rsidRDefault="00212A33">
      <w:pPr>
        <w:pStyle w:val="Header"/>
        <w:tabs>
          <w:tab w:val="clear" w:pos="4320"/>
          <w:tab w:val="clear" w:pos="86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BB0080D" wp14:editId="1B31A414">
                <wp:simplePos x="0" y="0"/>
                <wp:positionH relativeFrom="column">
                  <wp:posOffset>-862965</wp:posOffset>
                </wp:positionH>
                <wp:positionV relativeFrom="paragraph">
                  <wp:posOffset>-687705</wp:posOffset>
                </wp:positionV>
                <wp:extent cx="2400300" cy="1092200"/>
                <wp:effectExtent l="0" t="0" r="0" b="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092200"/>
                          <a:chOff x="441" y="364"/>
                          <a:chExt cx="3780" cy="1720"/>
                        </a:xfrm>
                      </wpg:grpSpPr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1" y="364"/>
                            <a:ext cx="2304" cy="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B2E8C" w14:textId="77777777" w:rsidR="00D92C51" w:rsidRDefault="00D92C5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6AA3418" wp14:editId="3A9D4AA5">
                                    <wp:extent cx="1270000" cy="955040"/>
                                    <wp:effectExtent l="0" t="0" r="0" b="10160"/>
                                    <wp:docPr id="2" name="Picture 2" descr="Ligo_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Ligo_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70000" cy="955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544"/>
                            <a:ext cx="162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1E12B" w14:textId="77777777" w:rsidR="00D92C51" w:rsidRDefault="00D92C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-67.9pt;margin-top:-54.1pt;width:189pt;height:86pt;z-index:251657728" coordorigin="441,364" coordsize="3780,1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8" o:spid="_x0000_s1027" type="#_x0000_t202" style="position:absolute;left:441;top:364;width:2304;height:1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164B2E8C" w14:textId="77777777" w:rsidR="00D92C51" w:rsidRDefault="00D92C51">
                        <w:r>
                          <w:rPr>
                            <w:noProof/>
                          </w:rPr>
                          <w:drawing>
                            <wp:inline distT="0" distB="0" distL="0" distR="0" wp14:anchorId="36AA3418" wp14:editId="3A9D4AA5">
                              <wp:extent cx="1270000" cy="955040"/>
                              <wp:effectExtent l="0" t="0" r="0" b="10160"/>
                              <wp:docPr id="2" name="Picture 2" descr="Ligo_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igo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70000" cy="955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9" o:spid="_x0000_s1028" type="#_x0000_t202" style="position:absolute;left:2601;top:544;width:1620;height:14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<v:textbox>
                    <w:txbxContent>
                      <w:p w14:paraId="48B1E12B" w14:textId="77777777" w:rsidR="00D92C51" w:rsidRDefault="00D92C51"/>
                    </w:txbxContent>
                  </v:textbox>
                </v:shape>
              </v:group>
            </w:pict>
          </mc:Fallback>
        </mc:AlternateContent>
      </w:r>
      <w:r w:rsidR="003C6EE5">
        <w:tab/>
      </w:r>
      <w:r w:rsidR="003C6EE5">
        <w:tab/>
      </w:r>
      <w:r w:rsidR="003C6EE5">
        <w:tab/>
      </w:r>
      <w:r w:rsidR="003C6EE5">
        <w:tab/>
      </w:r>
      <w:r w:rsidR="003C6EE5">
        <w:tab/>
      </w:r>
      <w:r w:rsidR="003C6EE5">
        <w:tab/>
      </w:r>
      <w:r w:rsidR="003C6EE5">
        <w:tab/>
      </w:r>
    </w:p>
    <w:tbl>
      <w:tblPr>
        <w:tblW w:w="3600" w:type="dxa"/>
        <w:tblInd w:w="5778" w:type="dxa"/>
        <w:tblLook w:val="0000" w:firstRow="0" w:lastRow="0" w:firstColumn="0" w:lastColumn="0" w:noHBand="0" w:noVBand="0"/>
      </w:tblPr>
      <w:tblGrid>
        <w:gridCol w:w="1170"/>
        <w:gridCol w:w="2430"/>
      </w:tblGrid>
      <w:tr w:rsidR="00753F77" w14:paraId="59230312" w14:textId="77777777">
        <w:trPr>
          <w:trHeight w:val="314"/>
        </w:trPr>
        <w:tc>
          <w:tcPr>
            <w:tcW w:w="1170" w:type="dxa"/>
            <w:vAlign w:val="center"/>
          </w:tcPr>
          <w:p w14:paraId="5AC8FC94" w14:textId="77777777" w:rsidR="00753F77" w:rsidRPr="00570F0A" w:rsidRDefault="003C6EE5">
            <w:pPr>
              <w:jc w:val="right"/>
              <w:rPr>
                <w:sz w:val="24"/>
                <w:szCs w:val="24"/>
              </w:rPr>
            </w:pPr>
            <w:r w:rsidRPr="00570F0A">
              <w:rPr>
                <w:sz w:val="24"/>
                <w:szCs w:val="24"/>
              </w:rPr>
              <w:t>Date:</w:t>
            </w:r>
          </w:p>
        </w:tc>
        <w:tc>
          <w:tcPr>
            <w:tcW w:w="2430" w:type="dxa"/>
            <w:vAlign w:val="center"/>
          </w:tcPr>
          <w:p w14:paraId="6B8E9CD2" w14:textId="77777777" w:rsidR="00753F77" w:rsidRPr="00570F0A" w:rsidRDefault="003C6EE5">
            <w:pPr>
              <w:pStyle w:val="Style1"/>
              <w:rPr>
                <w:rFonts w:ascii="Times New Roman" w:hAnsi="Times New Roman"/>
                <w:szCs w:val="24"/>
              </w:rPr>
            </w:pPr>
            <w:r w:rsidRPr="00570F0A">
              <w:rPr>
                <w:rFonts w:ascii="Times New Roman" w:hAnsi="Times New Roman"/>
                <w:szCs w:val="24"/>
              </w:rPr>
              <w:fldChar w:fldCharType="begin"/>
            </w:r>
            <w:r w:rsidRPr="00570F0A">
              <w:rPr>
                <w:rFonts w:ascii="Times New Roman" w:hAnsi="Times New Roman"/>
                <w:szCs w:val="24"/>
              </w:rPr>
              <w:instrText xml:space="preserve"> TIME \@ "MMMM d, yyyy" </w:instrText>
            </w:r>
            <w:r w:rsidRPr="00570F0A">
              <w:rPr>
                <w:rFonts w:ascii="Times New Roman" w:hAnsi="Times New Roman"/>
                <w:szCs w:val="24"/>
              </w:rPr>
              <w:fldChar w:fldCharType="separate"/>
            </w:r>
            <w:r w:rsidR="005012FC">
              <w:rPr>
                <w:rFonts w:ascii="Times New Roman" w:hAnsi="Times New Roman"/>
                <w:noProof/>
                <w:szCs w:val="24"/>
              </w:rPr>
              <w:t>November 18, 2014</w:t>
            </w:r>
            <w:r w:rsidRPr="00570F0A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:rsidR="00753F77" w14:paraId="338C1185" w14:textId="77777777">
        <w:trPr>
          <w:trHeight w:val="332"/>
        </w:trPr>
        <w:tc>
          <w:tcPr>
            <w:tcW w:w="1170" w:type="dxa"/>
            <w:vAlign w:val="center"/>
          </w:tcPr>
          <w:p w14:paraId="2F39C133" w14:textId="4F4FE76E" w:rsidR="00753F77" w:rsidRPr="00570F0A" w:rsidRDefault="00026B7B">
            <w:pPr>
              <w:jc w:val="right"/>
              <w:rPr>
                <w:sz w:val="24"/>
                <w:szCs w:val="24"/>
              </w:rPr>
            </w:pPr>
            <w:r w:rsidRPr="00570F0A">
              <w:rPr>
                <w:sz w:val="24"/>
                <w:szCs w:val="24"/>
              </w:rPr>
              <w:t>Refer to</w:t>
            </w:r>
            <w:r w:rsidR="003C6EE5" w:rsidRPr="00570F0A">
              <w:rPr>
                <w:sz w:val="24"/>
                <w:szCs w:val="24"/>
              </w:rPr>
              <w:t>:</w:t>
            </w:r>
          </w:p>
        </w:tc>
        <w:tc>
          <w:tcPr>
            <w:tcW w:w="2430" w:type="dxa"/>
            <w:vAlign w:val="center"/>
          </w:tcPr>
          <w:p w14:paraId="55B59E70" w14:textId="3A3BE9A7" w:rsidR="00753F77" w:rsidRPr="00570F0A" w:rsidRDefault="00917F3B" w:rsidP="005012FC">
            <w:pPr>
              <w:rPr>
                <w:b/>
                <w:sz w:val="24"/>
                <w:szCs w:val="24"/>
              </w:rPr>
            </w:pPr>
            <w:r w:rsidRPr="00570F0A">
              <w:rPr>
                <w:b/>
                <w:sz w:val="24"/>
                <w:szCs w:val="24"/>
              </w:rPr>
              <w:t>LIGO-</w:t>
            </w:r>
            <w:r w:rsidR="00EA3304" w:rsidRPr="00570F0A">
              <w:rPr>
                <w:b/>
                <w:bCs/>
                <w:sz w:val="24"/>
                <w:szCs w:val="24"/>
              </w:rPr>
              <w:t>T1400</w:t>
            </w:r>
            <w:r w:rsidR="005012FC">
              <w:rPr>
                <w:b/>
                <w:bCs/>
                <w:sz w:val="24"/>
                <w:szCs w:val="24"/>
              </w:rPr>
              <w:t>723</w:t>
            </w:r>
            <w:r w:rsidR="003C6EE5" w:rsidRPr="00570F0A">
              <w:rPr>
                <w:b/>
                <w:color w:val="333333"/>
                <w:sz w:val="24"/>
                <w:szCs w:val="24"/>
              </w:rPr>
              <w:t>-v</w:t>
            </w:r>
            <w:r w:rsidR="009D5E4E" w:rsidRPr="00570F0A">
              <w:rPr>
                <w:b/>
                <w:color w:val="333333"/>
                <w:sz w:val="24"/>
                <w:szCs w:val="24"/>
              </w:rPr>
              <w:t>1</w:t>
            </w:r>
          </w:p>
        </w:tc>
      </w:tr>
    </w:tbl>
    <w:p w14:paraId="259D7692" w14:textId="77777777" w:rsidR="00753F77" w:rsidRDefault="00753F77">
      <w:pPr>
        <w:rPr>
          <w:rFonts w:ascii="Arial" w:hAnsi="Arial"/>
          <w:sz w:val="24"/>
        </w:rPr>
      </w:pPr>
    </w:p>
    <w:p w14:paraId="2F453BCA" w14:textId="77777777" w:rsidR="007B7F9C" w:rsidRDefault="007B7F9C" w:rsidP="007B7F9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From:</w:t>
      </w:r>
      <w:r>
        <w:rPr>
          <w:rFonts w:ascii="Times" w:hAnsi="Times"/>
          <w:sz w:val="24"/>
        </w:rPr>
        <w:tab/>
      </w:r>
      <w:r>
        <w:rPr>
          <w:rFonts w:ascii="Times" w:hAnsi="Times"/>
          <w:sz w:val="24"/>
        </w:rPr>
        <w:fldChar w:fldCharType="begin"/>
      </w:r>
      <w:r>
        <w:rPr>
          <w:rFonts w:ascii="Times" w:hAnsi="Times"/>
          <w:sz w:val="24"/>
        </w:rPr>
        <w:instrText xml:space="preserve"> CONTACT _Con-438ABEED1 \c \s \l </w:instrText>
      </w:r>
      <w:r>
        <w:rPr>
          <w:rFonts w:ascii="Times" w:hAnsi="Times"/>
          <w:sz w:val="24"/>
        </w:rPr>
        <w:fldChar w:fldCharType="separate"/>
      </w:r>
      <w:r>
        <w:rPr>
          <w:rFonts w:ascii="Times" w:hAnsi="Times"/>
          <w:noProof/>
          <w:sz w:val="24"/>
        </w:rPr>
        <w:t>M. Zucker</w:t>
      </w:r>
      <w:r>
        <w:rPr>
          <w:rFonts w:ascii="Times" w:hAnsi="Times"/>
          <w:sz w:val="24"/>
        </w:rPr>
        <w:fldChar w:fldCharType="end"/>
      </w:r>
      <w:r>
        <w:rPr>
          <w:rFonts w:ascii="Times" w:hAnsi="Times"/>
          <w:sz w:val="24"/>
        </w:rPr>
        <w:t xml:space="preserve"> </w:t>
      </w:r>
    </w:p>
    <w:p w14:paraId="3F9A52E3" w14:textId="18F39DF9" w:rsidR="007B7F9C" w:rsidRDefault="00691EB6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To: </w:t>
      </w:r>
      <w:r>
        <w:rPr>
          <w:rFonts w:ascii="Times" w:hAnsi="Times"/>
          <w:sz w:val="24"/>
        </w:rPr>
        <w:tab/>
      </w:r>
      <w:r w:rsidR="00570F0A">
        <w:rPr>
          <w:rFonts w:ascii="Times" w:hAnsi="Times"/>
          <w:sz w:val="24"/>
        </w:rPr>
        <w:t>VRB</w:t>
      </w:r>
    </w:p>
    <w:p w14:paraId="2D91108C" w14:textId="0926839E" w:rsidR="005012FC" w:rsidRDefault="007B7F9C" w:rsidP="005012F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cc: </w:t>
      </w:r>
      <w:r>
        <w:rPr>
          <w:rFonts w:ascii="Times" w:hAnsi="Times"/>
          <w:sz w:val="24"/>
        </w:rPr>
        <w:tab/>
        <w:t>H. Overm</w:t>
      </w:r>
      <w:r w:rsidR="005012FC">
        <w:rPr>
          <w:rFonts w:ascii="Times" w:hAnsi="Times"/>
          <w:sz w:val="24"/>
        </w:rPr>
        <w:t>ier, K. Ryan, J. Giaime, R. Oram</w:t>
      </w:r>
      <w:r w:rsidR="00EC3684">
        <w:rPr>
          <w:rFonts w:ascii="Times" w:hAnsi="Times"/>
          <w:sz w:val="24"/>
        </w:rPr>
        <w:t>, A. Lazzarini, D. Reitze</w:t>
      </w:r>
    </w:p>
    <w:p w14:paraId="2F08BF52" w14:textId="25940A02" w:rsidR="005012FC" w:rsidRPr="005012FC" w:rsidRDefault="003C6EE5" w:rsidP="005012FC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Re: </w:t>
      </w:r>
      <w:r>
        <w:rPr>
          <w:rFonts w:ascii="Times" w:hAnsi="Times"/>
          <w:sz w:val="24"/>
        </w:rPr>
        <w:tab/>
      </w:r>
      <w:r w:rsidR="005012FC" w:rsidRPr="005012FC">
        <w:rPr>
          <w:rFonts w:ascii="Times" w:hAnsi="Times"/>
          <w:b/>
          <w:sz w:val="24"/>
          <w:szCs w:val="24"/>
        </w:rPr>
        <w:t>L</w:t>
      </w:r>
      <w:r w:rsidR="00EC3684">
        <w:rPr>
          <w:rFonts w:ascii="Times" w:hAnsi="Times"/>
          <w:b/>
          <w:sz w:val="24"/>
          <w:szCs w:val="24"/>
        </w:rPr>
        <w:t>L</w:t>
      </w:r>
      <w:r w:rsidR="005012FC" w:rsidRPr="005012FC">
        <w:rPr>
          <w:rFonts w:ascii="Times" w:hAnsi="Times"/>
          <w:b/>
          <w:sz w:val="24"/>
          <w:szCs w:val="24"/>
        </w:rPr>
        <w:t>O Y beamtube leak &amp; outgassing rates</w:t>
      </w:r>
    </w:p>
    <w:p w14:paraId="5CE79853" w14:textId="4506C036" w:rsidR="00753F77" w:rsidRDefault="00753F77">
      <w:pPr>
        <w:ind w:left="720" w:hanging="720"/>
        <w:rPr>
          <w:rFonts w:ascii="Arial" w:hAnsi="Arial"/>
          <w:sz w:val="24"/>
        </w:rPr>
      </w:pPr>
    </w:p>
    <w:p w14:paraId="0DE9E989" w14:textId="77777777" w:rsidR="00753F77" w:rsidRDefault="00753F77">
      <w:pPr>
        <w:pStyle w:val="RegPara"/>
      </w:pPr>
    </w:p>
    <w:p w14:paraId="0E053B53" w14:textId="46B5A9AC" w:rsidR="00C01E9B" w:rsidRDefault="00917F3B" w:rsidP="007B7F9C">
      <w:pPr>
        <w:pStyle w:val="RegPara"/>
        <w:jc w:val="both"/>
        <w:rPr>
          <w:szCs w:val="24"/>
        </w:rPr>
      </w:pPr>
      <w:r>
        <w:rPr>
          <w:b/>
        </w:rPr>
        <w:t>Abstract:</w:t>
      </w:r>
      <w:r w:rsidR="00D016AA">
        <w:t xml:space="preserve"> </w:t>
      </w:r>
      <w:r w:rsidR="005012FC">
        <w:t xml:space="preserve">The LLO Y beamtube was sealed from 12 to 17 November, 2014 by closing GV9 and GV4. </w:t>
      </w:r>
      <w:r w:rsidR="00EC3684">
        <w:t xml:space="preserve">An RGA at the tube midpoint recorded the time </w:t>
      </w:r>
      <w:r w:rsidR="005012FC">
        <w:t xml:space="preserve">evolution of principal </w:t>
      </w:r>
      <w:r w:rsidR="00EC3684">
        <w:t>gas species</w:t>
      </w:r>
      <w:r w:rsidR="005012FC">
        <w:t xml:space="preserve">. </w:t>
      </w:r>
      <w:r w:rsidR="00991DC1">
        <w:t xml:space="preserve"> The residual air leak rate is </w:t>
      </w:r>
      <w:r w:rsidR="00C01E9B">
        <w:t xml:space="preserve">now </w:t>
      </w:r>
      <w:r w:rsidR="008C4418">
        <w:t>found</w:t>
      </w:r>
      <w:r w:rsidR="00991DC1">
        <w:t xml:space="preserve"> to be </w:t>
      </w:r>
      <w:r w:rsidR="00D92C51" w:rsidRPr="00D92C51">
        <w:rPr>
          <w:i/>
        </w:rPr>
        <w:t>Q</w:t>
      </w:r>
      <w:r w:rsidR="00D92C51" w:rsidRPr="00D92C51">
        <w:rPr>
          <w:i/>
          <w:vertAlign w:val="subscript"/>
        </w:rPr>
        <w:t>N2</w:t>
      </w:r>
      <w:r w:rsidR="00D92C51">
        <w:t xml:space="preserve"> = </w:t>
      </w:r>
      <w:r w:rsidR="00991DC1">
        <w:rPr>
          <w:szCs w:val="24"/>
        </w:rPr>
        <w:t>8.3x10</w:t>
      </w:r>
      <w:r w:rsidR="00991DC1" w:rsidRPr="00991DC1">
        <w:rPr>
          <w:szCs w:val="24"/>
          <w:vertAlign w:val="superscript"/>
        </w:rPr>
        <w:t>-9</w:t>
      </w:r>
      <w:r w:rsidR="00991DC1">
        <w:rPr>
          <w:szCs w:val="24"/>
        </w:rPr>
        <w:t xml:space="preserve"> Tl/s, about 1/5,000 the rate before GV7 wa</w:t>
      </w:r>
      <w:r w:rsidR="00EC3684">
        <w:rPr>
          <w:szCs w:val="24"/>
        </w:rPr>
        <w:t xml:space="preserve">s </w:t>
      </w:r>
      <w:r w:rsidR="00C01E9B">
        <w:rPr>
          <w:szCs w:val="24"/>
        </w:rPr>
        <w:t>encapsulat</w:t>
      </w:r>
      <w:r w:rsidR="00EC3684">
        <w:rPr>
          <w:szCs w:val="24"/>
        </w:rPr>
        <w:t xml:space="preserve">ed on 13 October. </w:t>
      </w:r>
      <w:r w:rsidR="008C4418">
        <w:rPr>
          <w:szCs w:val="24"/>
        </w:rPr>
        <w:t xml:space="preserve">This </w:t>
      </w:r>
      <w:r w:rsidR="00C01E9B">
        <w:rPr>
          <w:szCs w:val="24"/>
        </w:rPr>
        <w:t xml:space="preserve">rate </w:t>
      </w:r>
      <w:r w:rsidR="008C4418">
        <w:rPr>
          <w:szCs w:val="24"/>
        </w:rPr>
        <w:t xml:space="preserve">is </w:t>
      </w:r>
      <w:r w:rsidR="006A1A23">
        <w:rPr>
          <w:szCs w:val="24"/>
        </w:rPr>
        <w:t>comparable to those</w:t>
      </w:r>
      <w:r w:rsidR="00C46E8C">
        <w:rPr>
          <w:szCs w:val="24"/>
        </w:rPr>
        <w:t xml:space="preserve"> observed on the </w:t>
      </w:r>
      <w:r w:rsidR="006A1A23">
        <w:rPr>
          <w:szCs w:val="24"/>
        </w:rPr>
        <w:t xml:space="preserve">LLO </w:t>
      </w:r>
      <w:r w:rsidR="00C46E8C">
        <w:rPr>
          <w:szCs w:val="24"/>
        </w:rPr>
        <w:t>X arm</w:t>
      </w:r>
      <w:r w:rsidR="006A1A23">
        <w:rPr>
          <w:rStyle w:val="FootnoteReference"/>
          <w:szCs w:val="24"/>
        </w:rPr>
        <w:footnoteReference w:id="1"/>
      </w:r>
      <w:r w:rsidR="00C46E8C">
        <w:rPr>
          <w:szCs w:val="24"/>
        </w:rPr>
        <w:t xml:space="preserve"> and at LHO</w:t>
      </w:r>
      <w:r w:rsidR="006A1A23">
        <w:rPr>
          <w:rStyle w:val="FootnoteReference"/>
          <w:szCs w:val="24"/>
        </w:rPr>
        <w:footnoteReference w:id="2"/>
      </w:r>
      <w:r w:rsidR="00C46E8C">
        <w:rPr>
          <w:szCs w:val="24"/>
        </w:rPr>
        <w:t>.  It</w:t>
      </w:r>
      <w:r w:rsidR="00C01E9B">
        <w:rPr>
          <w:szCs w:val="24"/>
        </w:rPr>
        <w:t xml:space="preserve"> </w:t>
      </w:r>
      <w:r w:rsidR="006A1A23">
        <w:rPr>
          <w:szCs w:val="24"/>
        </w:rPr>
        <w:t xml:space="preserve">is </w:t>
      </w:r>
      <w:r w:rsidR="00C01E9B">
        <w:rPr>
          <w:szCs w:val="24"/>
        </w:rPr>
        <w:t xml:space="preserve">not expected to </w:t>
      </w:r>
      <w:r w:rsidR="008C4418">
        <w:rPr>
          <w:szCs w:val="24"/>
        </w:rPr>
        <w:t>impact aLIGO o</w:t>
      </w:r>
      <w:r w:rsidR="00C01E9B">
        <w:rPr>
          <w:szCs w:val="24"/>
        </w:rPr>
        <w:t>bservations</w:t>
      </w:r>
      <w:r w:rsidR="008C4418">
        <w:rPr>
          <w:szCs w:val="24"/>
        </w:rPr>
        <w:t xml:space="preserve">. </w:t>
      </w:r>
      <w:r w:rsidR="00C01E9B">
        <w:rPr>
          <w:szCs w:val="24"/>
        </w:rPr>
        <w:t xml:space="preserve"> </w:t>
      </w:r>
    </w:p>
    <w:p w14:paraId="619465F0" w14:textId="77777777" w:rsidR="00D92C51" w:rsidRDefault="00D92C51" w:rsidP="007B7F9C">
      <w:pPr>
        <w:pStyle w:val="RegPara"/>
        <w:jc w:val="both"/>
        <w:rPr>
          <w:szCs w:val="24"/>
        </w:rPr>
      </w:pPr>
    </w:p>
    <w:p w14:paraId="08BE3A2C" w14:textId="50AAEEE0" w:rsidR="007B7F9C" w:rsidRDefault="00C01E9B" w:rsidP="007B7F9C">
      <w:pPr>
        <w:pStyle w:val="RegPara"/>
        <w:jc w:val="both"/>
      </w:pPr>
      <w:r>
        <w:rPr>
          <w:szCs w:val="24"/>
        </w:rPr>
        <w:t xml:space="preserve">The apparent water vapor desorption rate also appears smaller than previously estimated, suggesting the previous epoch of air leakage </w:t>
      </w:r>
      <w:r w:rsidR="00D92C51">
        <w:rPr>
          <w:szCs w:val="24"/>
        </w:rPr>
        <w:t xml:space="preserve">may have </w:t>
      </w:r>
      <w:r>
        <w:rPr>
          <w:szCs w:val="24"/>
        </w:rPr>
        <w:t xml:space="preserve">caused less lasting damage than </w:t>
      </w:r>
      <w:r w:rsidR="00D92C51">
        <w:rPr>
          <w:szCs w:val="24"/>
        </w:rPr>
        <w:t xml:space="preserve">initially </w:t>
      </w:r>
      <w:r>
        <w:rPr>
          <w:szCs w:val="24"/>
        </w:rPr>
        <w:t xml:space="preserve">feared. </w:t>
      </w:r>
      <w:r w:rsidR="00D92C51">
        <w:rPr>
          <w:szCs w:val="24"/>
        </w:rPr>
        <w:t xml:space="preserve"> </w:t>
      </w:r>
    </w:p>
    <w:p w14:paraId="1475DA8A" w14:textId="77777777" w:rsidR="00342194" w:rsidRPr="003613A8" w:rsidRDefault="00342194" w:rsidP="003613A8"/>
    <w:p w14:paraId="62B687CE" w14:textId="43812E59" w:rsidR="0097753C" w:rsidRDefault="007B7F9C" w:rsidP="00917F3B">
      <w:pPr>
        <w:pStyle w:val="RegPara"/>
        <w:jc w:val="both"/>
      </w:pPr>
      <w:r>
        <w:rPr>
          <w:b/>
        </w:rPr>
        <w:t>Method</w:t>
      </w:r>
      <w:r w:rsidR="006B029A" w:rsidRPr="006B029A">
        <w:rPr>
          <w:b/>
        </w:rPr>
        <w:t>:</w:t>
      </w:r>
      <w:r w:rsidR="006B029A">
        <w:t xml:space="preserve"> </w:t>
      </w:r>
      <w:r w:rsidR="0001263D">
        <w:t xml:space="preserve">The beamtube was sealed at both ends (GV4 and GV9 closed).  </w:t>
      </w:r>
      <w:r w:rsidR="002D7346">
        <w:t xml:space="preserve">95 hours of data were analyzed, starting 1 hour after the gate valves were sealed. </w:t>
      </w:r>
      <w:r w:rsidR="00F07132">
        <w:t xml:space="preserve">We monitored the tube midpoint with the Pfeiffer QMA220 </w:t>
      </w:r>
      <w:r w:rsidR="002D7346">
        <w:t>mass spectrometer</w:t>
      </w:r>
      <w:r w:rsidR="00F07132">
        <w:t xml:space="preserve"> in multiple-ion detection m</w:t>
      </w:r>
      <w:r w:rsidR="004B79F6">
        <w:t>ode at 2, 14, 18, 28 and 40 AMU</w:t>
      </w:r>
      <w:r w:rsidR="002C1EF4">
        <w:t xml:space="preserve">, </w:t>
      </w:r>
      <w:r w:rsidR="002D7346">
        <w:t xml:space="preserve">sequencing </w:t>
      </w:r>
      <w:r w:rsidR="002C1EF4">
        <w:t>with</w:t>
      </w:r>
      <w:r w:rsidR="004B79F6">
        <w:t xml:space="preserve"> a cycle period of approximately 14 seconds. </w:t>
      </w:r>
      <w:r w:rsidR="00F07132">
        <w:t xml:space="preserve"> All channels were recorded </w:t>
      </w:r>
      <w:r w:rsidR="002D7346">
        <w:t xml:space="preserve">by Faraday cup </w:t>
      </w:r>
      <w:r w:rsidR="00F07132">
        <w:t>with a fixed</w:t>
      </w:r>
      <w:r w:rsidR="0001263D">
        <w:t xml:space="preserve"> amplifier range of 0.1 nA full-</w:t>
      </w:r>
      <w:r w:rsidR="00F07132">
        <w:t xml:space="preserve">scale.  </w:t>
      </w:r>
      <w:r w:rsidR="00E6693C">
        <w:t xml:space="preserve">The empty channel at 5 AMU was also monitored </w:t>
      </w:r>
      <w:r w:rsidR="002D7346">
        <w:t xml:space="preserve">and used </w:t>
      </w:r>
      <w:r w:rsidR="00E6693C">
        <w:t xml:space="preserve">to correct </w:t>
      </w:r>
      <w:r w:rsidR="002D7346">
        <w:t xml:space="preserve">each datum </w:t>
      </w:r>
      <w:r w:rsidR="00E6693C">
        <w:t xml:space="preserve">for preamplifier </w:t>
      </w:r>
      <w:r w:rsidR="002D7346">
        <w:t>offset</w:t>
      </w:r>
      <w:r w:rsidR="00E6693C">
        <w:t xml:space="preserve">. </w:t>
      </w:r>
      <w:r w:rsidR="00F15408">
        <w:t>Ion</w:t>
      </w:r>
      <w:r w:rsidR="00E6693C">
        <w:t xml:space="preserve"> source</w:t>
      </w:r>
      <w:r w:rsidR="00F07132">
        <w:t xml:space="preserve"> emission </w:t>
      </w:r>
      <w:r w:rsidR="005012FC">
        <w:t xml:space="preserve">was </w:t>
      </w:r>
      <w:r w:rsidR="00F07132">
        <w:t>1.65 mA</w:t>
      </w:r>
      <w:r w:rsidR="005012FC">
        <w:t xml:space="preserve"> (nominal optimum). </w:t>
      </w:r>
      <w:r w:rsidR="0001263D">
        <w:t xml:space="preserve">The </w:t>
      </w:r>
      <w:r w:rsidR="005012FC">
        <w:t>small ion pump which normally maintains the RGA</w:t>
      </w:r>
      <w:r w:rsidR="002D7346">
        <w:t xml:space="preserve"> tree</w:t>
      </w:r>
      <w:r w:rsidR="005012FC">
        <w:t xml:space="preserve"> was </w:t>
      </w:r>
      <w:r w:rsidR="00F15408">
        <w:t>turned</w:t>
      </w:r>
      <w:r w:rsidR="005012FC">
        <w:t xml:space="preserve"> off</w:t>
      </w:r>
      <w:r w:rsidR="00F15408">
        <w:t xml:space="preserve"> for this test</w:t>
      </w:r>
      <w:r w:rsidR="0001263D">
        <w:t xml:space="preserve">. </w:t>
      </w:r>
    </w:p>
    <w:p w14:paraId="7493EB31" w14:textId="77777777" w:rsidR="00C74DE6" w:rsidRDefault="00C74DE6" w:rsidP="00917F3B">
      <w:pPr>
        <w:pStyle w:val="RegPara"/>
        <w:jc w:val="both"/>
      </w:pPr>
    </w:p>
    <w:p w14:paraId="2C4F846C" w14:textId="7429AD7F" w:rsidR="00652A65" w:rsidRDefault="002D7346" w:rsidP="00652A65">
      <w:pPr>
        <w:pStyle w:val="RegPara"/>
        <w:jc w:val="both"/>
      </w:pPr>
      <w:r>
        <w:t>Total</w:t>
      </w:r>
      <w:r w:rsidR="00F15408">
        <w:t xml:space="preserve"> pressure w</w:t>
      </w:r>
      <w:r>
        <w:t>as</w:t>
      </w:r>
      <w:r w:rsidR="00F15408">
        <w:t xml:space="preserve"> recorded by 8 </w:t>
      </w:r>
      <w:r>
        <w:t xml:space="preserve">inverted magnetron </w:t>
      </w:r>
      <w:r w:rsidR="00F15408">
        <w:t>cold cathode gauges</w:t>
      </w:r>
      <w:r w:rsidR="007208F2">
        <w:t>,</w:t>
      </w:r>
      <w:r w:rsidR="00F15408">
        <w:t xml:space="preserve"> distributed along the </w:t>
      </w:r>
      <w:r>
        <w:t xml:space="preserve">tube's </w:t>
      </w:r>
      <w:r w:rsidR="00F15408">
        <w:t xml:space="preserve">length. Four of these misbehaved or suffered data dropouts. The remaining four (PT990, PT753, PT984 and PT624) were averaged to estimate the mean pressure. </w:t>
      </w:r>
      <w:r w:rsidR="007208F2">
        <w:t>Taken with t</w:t>
      </w:r>
      <w:r w:rsidR="00652A65">
        <w:t>he sum of RGA ion currents</w:t>
      </w:r>
      <w:r w:rsidR="007208F2">
        <w:t>, this</w:t>
      </w:r>
      <w:r w:rsidR="00652A65">
        <w:t xml:space="preserve"> indicated RGA </w:t>
      </w:r>
      <w:r w:rsidR="007208F2">
        <w:t>calibration</w:t>
      </w:r>
      <w:r w:rsidR="00652A65">
        <w:t xml:space="preserve"> factor  </w:t>
      </w:r>
      <w:r w:rsidR="00652A65">
        <w:rPr>
          <w:i/>
        </w:rPr>
        <w:t>&lt;</w:t>
      </w:r>
      <w:r w:rsidR="00652A65" w:rsidRPr="00E6693C">
        <w:rPr>
          <w:i/>
        </w:rPr>
        <w:t>P</w:t>
      </w:r>
      <w:r w:rsidR="00652A65" w:rsidRPr="00E6693C">
        <w:rPr>
          <w:i/>
          <w:vertAlign w:val="subscript"/>
        </w:rPr>
        <w:t>cc</w:t>
      </w:r>
      <w:r w:rsidR="00652A65">
        <w:rPr>
          <w:i/>
        </w:rPr>
        <w:t>/</w:t>
      </w:r>
      <w:r w:rsidR="00652A65" w:rsidRPr="00E6693C">
        <w:rPr>
          <w:i/>
        </w:rPr>
        <w:t>I</w:t>
      </w:r>
      <w:r w:rsidR="00652A65" w:rsidRPr="00E6693C">
        <w:rPr>
          <w:i/>
          <w:vertAlign w:val="subscript"/>
        </w:rPr>
        <w:t>sum</w:t>
      </w:r>
      <w:r w:rsidR="00652A65" w:rsidRPr="00E6693C">
        <w:rPr>
          <w:i/>
        </w:rPr>
        <w:t>&gt;</w:t>
      </w:r>
      <w:r w:rsidR="00652A65">
        <w:rPr>
          <w:i/>
        </w:rPr>
        <w:t xml:space="preserve"> =</w:t>
      </w:r>
      <w:r w:rsidR="00652A65">
        <w:t xml:space="preserve"> 900 Torr/ampere (air-equivalent).  </w:t>
      </w:r>
    </w:p>
    <w:p w14:paraId="0197E720" w14:textId="77777777" w:rsidR="00652A65" w:rsidRDefault="00652A65" w:rsidP="00917F3B">
      <w:pPr>
        <w:pStyle w:val="RegPara"/>
        <w:jc w:val="both"/>
      </w:pPr>
    </w:p>
    <w:p w14:paraId="6B68CC98" w14:textId="37168A83" w:rsidR="00593830" w:rsidRDefault="00244CE6" w:rsidP="006F2D8E">
      <w:pPr>
        <w:pStyle w:val="RegPara"/>
        <w:jc w:val="both"/>
      </w:pPr>
      <w:r>
        <w:t>T</w:t>
      </w:r>
      <w:r w:rsidR="00C74DE6">
        <w:t>ube</w:t>
      </w:r>
      <w:r>
        <w:t xml:space="preserve"> wall</w:t>
      </w:r>
      <w:r w:rsidR="00C74DE6">
        <w:t xml:space="preserve"> temperature</w:t>
      </w:r>
      <w:r w:rsidR="005012FC">
        <w:t>s</w:t>
      </w:r>
      <w:r w:rsidR="00C74DE6">
        <w:t xml:space="preserve"> w</w:t>
      </w:r>
      <w:r w:rsidR="005012FC">
        <w:t xml:space="preserve">ere </w:t>
      </w:r>
      <w:r w:rsidR="00C74DE6">
        <w:t>recorded by six thermocouples</w:t>
      </w:r>
      <w:r w:rsidR="00F15408">
        <w:t xml:space="preserve">, </w:t>
      </w:r>
      <w:r w:rsidR="00652A65">
        <w:t xml:space="preserve">two of which </w:t>
      </w:r>
      <w:r w:rsidR="000C78AF">
        <w:t>also</w:t>
      </w:r>
      <w:r w:rsidR="00652A65">
        <w:t xml:space="preserve"> suffered</w:t>
      </w:r>
      <w:r w:rsidR="00F15408">
        <w:t xml:space="preserve"> data dropout</w:t>
      </w:r>
      <w:r w:rsidR="00652A65">
        <w:t>s</w:t>
      </w:r>
      <w:r w:rsidR="00F15408">
        <w:t>.</w:t>
      </w:r>
      <w:r>
        <w:t xml:space="preserve"> </w:t>
      </w:r>
      <w:r w:rsidR="00F15408">
        <w:t xml:space="preserve">The remaining four </w:t>
      </w:r>
      <w:r w:rsidR="00652A65">
        <w:t xml:space="preserve">(at Y1-7, Y2-1, Y2-4 and Y2-7) </w:t>
      </w:r>
      <w:r w:rsidR="00C74DE6">
        <w:t xml:space="preserve">tracked closely. </w:t>
      </w:r>
      <w:r w:rsidR="0097753C">
        <w:t>The</w:t>
      </w:r>
      <w:r w:rsidR="000C78AF">
        <w:t xml:space="preserve">ir mean varied from 7.5C to 20.2C, </w:t>
      </w:r>
      <w:r w:rsidR="007208F2">
        <w:t>and averaged</w:t>
      </w:r>
      <w:r w:rsidR="000C78AF">
        <w:t xml:space="preserve"> </w:t>
      </w:r>
      <w:r w:rsidR="0097753C">
        <w:t xml:space="preserve">14.2C </w:t>
      </w:r>
      <w:r w:rsidR="007208F2">
        <w:t>over</w:t>
      </w:r>
      <w:r w:rsidR="0097753C">
        <w:t xml:space="preserve"> the </w:t>
      </w:r>
      <w:r w:rsidR="007208F2">
        <w:t>test duration</w:t>
      </w:r>
      <w:r w:rsidR="0097753C">
        <w:t>. Despite th</w:t>
      </w:r>
      <w:r w:rsidR="000C78AF">
        <w:t>e</w:t>
      </w:r>
      <w:r w:rsidR="0097753C">
        <w:t xml:space="preserve"> variation, temperature effects did not appreciabl</w:t>
      </w:r>
      <w:r w:rsidR="000C78AF">
        <w:t xml:space="preserve">y affect fit parameters and were </w:t>
      </w:r>
      <w:r w:rsidR="007208F2">
        <w:t xml:space="preserve">therefore </w:t>
      </w:r>
      <w:r w:rsidR="000C78AF">
        <w:t>disregard</w:t>
      </w:r>
      <w:r w:rsidR="0097753C">
        <w:t xml:space="preserve">ed. </w:t>
      </w:r>
    </w:p>
    <w:p w14:paraId="2E7DCBBF" w14:textId="77777777" w:rsidR="00593830" w:rsidRDefault="00593830" w:rsidP="006F2D8E">
      <w:pPr>
        <w:pStyle w:val="RegPara"/>
        <w:jc w:val="both"/>
      </w:pPr>
    </w:p>
    <w:p w14:paraId="2AFE20DA" w14:textId="77777777" w:rsidR="00593830" w:rsidRDefault="00593830" w:rsidP="006F2D8E">
      <w:pPr>
        <w:pStyle w:val="RegPara"/>
        <w:jc w:val="both"/>
      </w:pPr>
    </w:p>
    <w:p w14:paraId="723F0317" w14:textId="77777777" w:rsidR="00593830" w:rsidRDefault="00593830" w:rsidP="006F2D8E">
      <w:pPr>
        <w:pStyle w:val="RegPara"/>
        <w:jc w:val="both"/>
      </w:pPr>
    </w:p>
    <w:p w14:paraId="76667686" w14:textId="77777777" w:rsidR="00593830" w:rsidRDefault="00593830" w:rsidP="006F2D8E">
      <w:pPr>
        <w:pStyle w:val="RegPara"/>
        <w:jc w:val="both"/>
      </w:pPr>
    </w:p>
    <w:p w14:paraId="53DDE58B" w14:textId="77777777" w:rsidR="00593830" w:rsidRDefault="00593830" w:rsidP="006F2D8E">
      <w:pPr>
        <w:pStyle w:val="RegPara"/>
        <w:jc w:val="both"/>
      </w:pPr>
    </w:p>
    <w:p w14:paraId="02BBF0DF" w14:textId="77777777" w:rsidR="00593830" w:rsidRDefault="00593830" w:rsidP="006F2D8E">
      <w:pPr>
        <w:pStyle w:val="RegPara"/>
        <w:jc w:val="both"/>
      </w:pPr>
    </w:p>
    <w:p w14:paraId="3A75AD30" w14:textId="77777777" w:rsidR="006F2D8E" w:rsidRPr="006F2D8E" w:rsidRDefault="006F2D8E" w:rsidP="006F2D8E"/>
    <w:p w14:paraId="412ECD2D" w14:textId="63C89206" w:rsidR="00824CE4" w:rsidRDefault="00EC3684" w:rsidP="001D1BF0">
      <w:pPr>
        <w:pStyle w:val="Caption"/>
        <w:keepNext/>
        <w:jc w:val="center"/>
      </w:pPr>
      <w:r>
        <w:rPr>
          <w:noProof/>
        </w:rPr>
        <w:drawing>
          <wp:inline distT="0" distB="0" distL="0" distR="0" wp14:anchorId="0F1B5381" wp14:editId="17990103">
            <wp:extent cx="5469255" cy="3928745"/>
            <wp:effectExtent l="0" t="0" r="0" b="8255"/>
            <wp:docPr id="13" name="Picture 13" descr="Macintosh HD:Users:mike:Documents:Vacuum:LLO_YLEAK:20141117: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ike:Documents:Vacuum:LLO_YLEAK:20141117:Fig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39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D38F9" w14:textId="6597D154" w:rsidR="00662DDD" w:rsidRPr="00E6693C" w:rsidRDefault="00824CE4" w:rsidP="008C4418">
      <w:pPr>
        <w:pStyle w:val="Caption"/>
        <w:jc w:val="center"/>
      </w:pPr>
      <w:bookmarkStart w:id="0" w:name="_Ref277940657"/>
      <w:r>
        <w:t xml:space="preserve">Figure </w:t>
      </w:r>
      <w:fldSimple w:instr=" SEQ Figure \* ARABIC ">
        <w:r w:rsidR="0035517A">
          <w:rPr>
            <w:noProof/>
          </w:rPr>
          <w:t>1</w:t>
        </w:r>
      </w:fldSimple>
      <w:bookmarkEnd w:id="0"/>
      <w:r>
        <w:t xml:space="preserve">: </w:t>
      </w:r>
      <w:r w:rsidR="001D1BF0">
        <w:t>Ion</w:t>
      </w:r>
      <w:r>
        <w:t xml:space="preserve"> current</w:t>
      </w:r>
      <w:r w:rsidR="001D1BF0">
        <w:t>s</w:t>
      </w:r>
      <w:r>
        <w:t xml:space="preserve"> </w:t>
      </w:r>
      <w:r w:rsidR="001D1BF0">
        <w:t xml:space="preserve"> for main species plotted with mean of cold cathode gauges, using approximate RGA calibration </w:t>
      </w:r>
      <w:r w:rsidR="001D1BF0">
        <w:rPr>
          <w:i/>
        </w:rPr>
        <w:t>&lt;</w:t>
      </w:r>
      <w:r w:rsidR="001D1BF0" w:rsidRPr="00E6693C">
        <w:rPr>
          <w:i/>
        </w:rPr>
        <w:t>P</w:t>
      </w:r>
      <w:r w:rsidR="001D1BF0" w:rsidRPr="00E6693C">
        <w:rPr>
          <w:i/>
          <w:vertAlign w:val="subscript"/>
        </w:rPr>
        <w:t>cc</w:t>
      </w:r>
      <w:r w:rsidR="001D1BF0">
        <w:rPr>
          <w:i/>
        </w:rPr>
        <w:t>/</w:t>
      </w:r>
      <w:r w:rsidR="001D1BF0" w:rsidRPr="00E6693C">
        <w:rPr>
          <w:i/>
        </w:rPr>
        <w:t>I</w:t>
      </w:r>
      <w:r w:rsidR="001D1BF0" w:rsidRPr="00E6693C">
        <w:rPr>
          <w:i/>
          <w:vertAlign w:val="subscript"/>
        </w:rPr>
        <w:t>sum</w:t>
      </w:r>
      <w:r w:rsidR="001D1BF0" w:rsidRPr="00E6693C">
        <w:rPr>
          <w:i/>
        </w:rPr>
        <w:t>&gt;</w:t>
      </w:r>
      <w:r w:rsidR="001D1BF0">
        <w:rPr>
          <w:i/>
        </w:rPr>
        <w:t xml:space="preserve"> ~ </w:t>
      </w:r>
      <w:r w:rsidR="001D1BF0">
        <w:t>900 Torr/ampere</w:t>
      </w:r>
      <w:r>
        <w:t>.</w:t>
      </w:r>
      <w:r w:rsidR="002D7346">
        <w:t xml:space="preserve"> </w:t>
      </w:r>
      <w:r w:rsidR="00167B17">
        <w:t>(</w:t>
      </w:r>
      <w:r w:rsidR="002D7346">
        <w:t>Glitch at 57 hours was a framebuilder re</w:t>
      </w:r>
      <w:r w:rsidR="00167B17">
        <w:t>boo</w:t>
      </w:r>
      <w:r w:rsidR="002D7346">
        <w:t>t</w:t>
      </w:r>
      <w:r w:rsidR="00167B17">
        <w:t>)</w:t>
      </w:r>
      <w:r w:rsidR="002D7346">
        <w:t xml:space="preserve">. </w:t>
      </w:r>
    </w:p>
    <w:p w14:paraId="3F479B49" w14:textId="77777777" w:rsidR="00AE6A0D" w:rsidRDefault="00AE6A0D" w:rsidP="00917F3B">
      <w:pPr>
        <w:pStyle w:val="RegPara"/>
        <w:jc w:val="both"/>
      </w:pPr>
    </w:p>
    <w:p w14:paraId="31F9D01C" w14:textId="7FBE3749" w:rsidR="00991DC1" w:rsidRDefault="00A12C3A" w:rsidP="00991DC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Results</w:t>
      </w:r>
      <w:r w:rsidR="007B7F9C" w:rsidRPr="007B7F9C">
        <w:rPr>
          <w:b/>
          <w:sz w:val="24"/>
          <w:szCs w:val="24"/>
        </w:rPr>
        <w:t>:</w:t>
      </w:r>
      <w:r w:rsidR="007B7F9C">
        <w:rPr>
          <w:sz w:val="24"/>
          <w:szCs w:val="24"/>
        </w:rPr>
        <w:t xml:space="preserve"> </w:t>
      </w:r>
      <w:r w:rsidR="0035517A">
        <w:rPr>
          <w:sz w:val="24"/>
          <w:szCs w:val="24"/>
        </w:rPr>
        <w:t xml:space="preserve"> Rates</w:t>
      </w:r>
      <w:r w:rsidR="002D7346">
        <w:rPr>
          <w:sz w:val="24"/>
          <w:szCs w:val="24"/>
        </w:rPr>
        <w:t xml:space="preserve"> of </w:t>
      </w:r>
      <w:r w:rsidR="002D7346" w:rsidRPr="0035517A">
        <w:rPr>
          <w:sz w:val="24"/>
          <w:szCs w:val="24"/>
        </w:rPr>
        <w:t xml:space="preserve">change for each species </w:t>
      </w:r>
      <w:r w:rsidR="0035517A">
        <w:rPr>
          <w:sz w:val="24"/>
          <w:szCs w:val="24"/>
        </w:rPr>
        <w:t>are</w:t>
      </w:r>
      <w:r w:rsidR="002D7346" w:rsidRPr="0035517A">
        <w:rPr>
          <w:sz w:val="24"/>
          <w:szCs w:val="24"/>
        </w:rPr>
        <w:t xml:space="preserve"> </w:t>
      </w:r>
      <w:r w:rsidR="00991DC1">
        <w:rPr>
          <w:sz w:val="24"/>
          <w:szCs w:val="24"/>
        </w:rPr>
        <w:t>shown</w:t>
      </w:r>
      <w:r w:rsidR="0035517A" w:rsidRPr="0035517A">
        <w:rPr>
          <w:sz w:val="24"/>
          <w:szCs w:val="24"/>
        </w:rPr>
        <w:t xml:space="preserve"> in </w:t>
      </w:r>
      <w:r w:rsidR="006625DA" w:rsidRPr="006625DA">
        <w:rPr>
          <w:sz w:val="24"/>
          <w:szCs w:val="24"/>
        </w:rPr>
        <w:fldChar w:fldCharType="begin"/>
      </w:r>
      <w:r w:rsidR="006625DA" w:rsidRPr="006625DA">
        <w:rPr>
          <w:sz w:val="24"/>
          <w:szCs w:val="24"/>
        </w:rPr>
        <w:instrText xml:space="preserve"> REF _Ref277940788 \h </w:instrText>
      </w:r>
      <w:r w:rsidR="006625DA" w:rsidRPr="006625DA">
        <w:rPr>
          <w:sz w:val="24"/>
          <w:szCs w:val="24"/>
        </w:rPr>
      </w:r>
      <w:r w:rsidR="006625DA" w:rsidRPr="006625DA">
        <w:rPr>
          <w:sz w:val="24"/>
          <w:szCs w:val="24"/>
        </w:rPr>
        <w:fldChar w:fldCharType="separate"/>
      </w:r>
      <w:r w:rsidR="006625DA" w:rsidRPr="006625DA">
        <w:rPr>
          <w:sz w:val="24"/>
          <w:szCs w:val="24"/>
        </w:rPr>
        <w:t xml:space="preserve">Figure </w:t>
      </w:r>
      <w:r w:rsidR="006625DA" w:rsidRPr="006625DA">
        <w:rPr>
          <w:noProof/>
          <w:sz w:val="24"/>
          <w:szCs w:val="24"/>
        </w:rPr>
        <w:t>2</w:t>
      </w:r>
      <w:r w:rsidR="006625DA" w:rsidRPr="006625DA">
        <w:rPr>
          <w:sz w:val="24"/>
          <w:szCs w:val="24"/>
        </w:rPr>
        <w:fldChar w:fldCharType="end"/>
      </w:r>
      <w:r w:rsidR="006625DA" w:rsidRPr="006625DA">
        <w:rPr>
          <w:sz w:val="24"/>
          <w:szCs w:val="24"/>
        </w:rPr>
        <w:t xml:space="preserve"> </w:t>
      </w:r>
      <w:r w:rsidR="0035517A" w:rsidRPr="006625DA">
        <w:rPr>
          <w:sz w:val="24"/>
          <w:szCs w:val="24"/>
        </w:rPr>
        <w:t>and</w:t>
      </w:r>
      <w:r w:rsidR="0035517A" w:rsidRPr="0035517A">
        <w:rPr>
          <w:sz w:val="24"/>
          <w:szCs w:val="24"/>
        </w:rPr>
        <w:t xml:space="preserve"> </w:t>
      </w:r>
      <w:r w:rsidR="0035517A" w:rsidRPr="0035517A">
        <w:rPr>
          <w:sz w:val="24"/>
          <w:szCs w:val="24"/>
        </w:rPr>
        <w:fldChar w:fldCharType="begin"/>
      </w:r>
      <w:r w:rsidR="0035517A" w:rsidRPr="0035517A">
        <w:rPr>
          <w:sz w:val="24"/>
          <w:szCs w:val="24"/>
        </w:rPr>
        <w:instrText xml:space="preserve"> REF _Ref277940676 \h </w:instrText>
      </w:r>
      <w:r w:rsidR="0035517A" w:rsidRPr="0035517A">
        <w:rPr>
          <w:sz w:val="24"/>
          <w:szCs w:val="24"/>
        </w:rPr>
      </w:r>
      <w:r w:rsidR="0035517A" w:rsidRPr="0035517A">
        <w:rPr>
          <w:sz w:val="24"/>
          <w:szCs w:val="24"/>
        </w:rPr>
        <w:fldChar w:fldCharType="separate"/>
      </w:r>
      <w:r w:rsidR="0035517A" w:rsidRPr="0035517A">
        <w:rPr>
          <w:sz w:val="24"/>
          <w:szCs w:val="24"/>
        </w:rPr>
        <w:t>Tab</w:t>
      </w:r>
      <w:r w:rsidR="0035517A" w:rsidRPr="0035517A">
        <w:rPr>
          <w:sz w:val="24"/>
          <w:szCs w:val="24"/>
        </w:rPr>
        <w:t>l</w:t>
      </w:r>
      <w:r w:rsidR="0035517A" w:rsidRPr="0035517A">
        <w:rPr>
          <w:sz w:val="24"/>
          <w:szCs w:val="24"/>
        </w:rPr>
        <w:t xml:space="preserve">e </w:t>
      </w:r>
      <w:r w:rsidR="0035517A" w:rsidRPr="0035517A">
        <w:rPr>
          <w:noProof/>
          <w:sz w:val="24"/>
          <w:szCs w:val="24"/>
        </w:rPr>
        <w:t>1</w:t>
      </w:r>
      <w:r w:rsidR="0035517A" w:rsidRPr="0035517A">
        <w:rPr>
          <w:sz w:val="24"/>
          <w:szCs w:val="24"/>
        </w:rPr>
        <w:fldChar w:fldCharType="end"/>
      </w:r>
      <w:r w:rsidR="0035517A" w:rsidRPr="0035517A">
        <w:rPr>
          <w:sz w:val="24"/>
          <w:szCs w:val="24"/>
        </w:rPr>
        <w:t>.</w:t>
      </w:r>
      <w:r w:rsidR="0035517A">
        <w:rPr>
          <w:sz w:val="24"/>
          <w:szCs w:val="24"/>
        </w:rPr>
        <w:t xml:space="preserve"> </w:t>
      </w:r>
    </w:p>
    <w:p w14:paraId="4166D25D" w14:textId="24646E1E" w:rsidR="001A1AB6" w:rsidRDefault="00991DC1" w:rsidP="00991DC1">
      <w:pPr>
        <w:jc w:val="both"/>
        <w:rPr>
          <w:sz w:val="24"/>
          <w:szCs w:val="24"/>
        </w:rPr>
      </w:pPr>
      <w:r w:rsidRPr="00991DC1">
        <w:rPr>
          <w:i/>
          <w:sz w:val="24"/>
          <w:szCs w:val="24"/>
        </w:rPr>
        <w:t xml:space="preserve">Residual air: </w:t>
      </w:r>
      <w:r w:rsidR="008C4418">
        <w:rPr>
          <w:sz w:val="24"/>
          <w:szCs w:val="24"/>
        </w:rPr>
        <w:t xml:space="preserve">The measured </w:t>
      </w:r>
      <w:r>
        <w:rPr>
          <w:sz w:val="24"/>
          <w:szCs w:val="24"/>
        </w:rPr>
        <w:t>nitrogen flux corresponds to 8.3x10</w:t>
      </w:r>
      <w:r w:rsidRPr="00991DC1">
        <w:rPr>
          <w:sz w:val="24"/>
          <w:szCs w:val="24"/>
          <w:vertAlign w:val="superscript"/>
        </w:rPr>
        <w:t>-9</w:t>
      </w:r>
      <w:r>
        <w:rPr>
          <w:sz w:val="24"/>
          <w:szCs w:val="24"/>
        </w:rPr>
        <w:t xml:space="preserve"> Tl/s, about 1/5000 the measured rate before the GV7 repair.  This is (barely) consistent with the original beamtube leak specificat</w:t>
      </w:r>
      <w:r w:rsidR="008C4418">
        <w:rPr>
          <w:sz w:val="24"/>
          <w:szCs w:val="24"/>
        </w:rPr>
        <w:t>ion</w:t>
      </w:r>
      <w:r w:rsidR="00D92C51">
        <w:rPr>
          <w:sz w:val="24"/>
          <w:szCs w:val="24"/>
        </w:rPr>
        <w:t xml:space="preserve"> (although it exceeds the "goal"). In any case this level</w:t>
      </w:r>
      <w:r w:rsidR="008C4418">
        <w:rPr>
          <w:sz w:val="24"/>
          <w:szCs w:val="24"/>
        </w:rPr>
        <w:t xml:space="preserve"> </w:t>
      </w:r>
      <w:r w:rsidR="00D92C51">
        <w:rPr>
          <w:sz w:val="24"/>
          <w:szCs w:val="24"/>
        </w:rPr>
        <w:t>will not</w:t>
      </w:r>
      <w:r w:rsidR="008C4418">
        <w:rPr>
          <w:sz w:val="24"/>
          <w:szCs w:val="24"/>
        </w:rPr>
        <w:t xml:space="preserve"> bother aLIGO. </w:t>
      </w:r>
    </w:p>
    <w:p w14:paraId="607A5BC6" w14:textId="77777777" w:rsidR="001A1AB6" w:rsidRDefault="001A1AB6" w:rsidP="00991DC1">
      <w:pPr>
        <w:jc w:val="both"/>
        <w:rPr>
          <w:sz w:val="24"/>
          <w:szCs w:val="24"/>
        </w:rPr>
      </w:pPr>
    </w:p>
    <w:p w14:paraId="30087672" w14:textId="41F8C584" w:rsidR="000C78AF" w:rsidRDefault="001A1AB6" w:rsidP="00991D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residual </w:t>
      </w:r>
      <w:r w:rsidR="00D92C51">
        <w:rPr>
          <w:sz w:val="24"/>
          <w:szCs w:val="24"/>
        </w:rPr>
        <w:t xml:space="preserve">leak rate </w:t>
      </w:r>
      <w:r>
        <w:rPr>
          <w:sz w:val="24"/>
          <w:szCs w:val="24"/>
        </w:rPr>
        <w:t>is</w:t>
      </w:r>
      <w:r w:rsidR="00991DC1">
        <w:rPr>
          <w:sz w:val="24"/>
          <w:szCs w:val="24"/>
        </w:rPr>
        <w:t xml:space="preserve"> about a decade too small for detection and localization</w:t>
      </w:r>
      <w:r w:rsidR="00D92C51">
        <w:rPr>
          <w:sz w:val="24"/>
          <w:szCs w:val="24"/>
        </w:rPr>
        <w:t xml:space="preserve">, given our current state of the </w:t>
      </w:r>
      <w:r w:rsidR="00991DC1">
        <w:rPr>
          <w:sz w:val="24"/>
          <w:szCs w:val="24"/>
        </w:rPr>
        <w:t xml:space="preserve">art; however it </w:t>
      </w:r>
      <w:r w:rsidR="00D92C51">
        <w:rPr>
          <w:sz w:val="24"/>
          <w:szCs w:val="24"/>
        </w:rPr>
        <w:t>w</w:t>
      </w:r>
      <w:r w:rsidR="008C4418">
        <w:rPr>
          <w:sz w:val="24"/>
          <w:szCs w:val="24"/>
        </w:rPr>
        <w:t>ould</w:t>
      </w:r>
      <w:r w:rsidR="00991DC1">
        <w:rPr>
          <w:sz w:val="24"/>
          <w:szCs w:val="24"/>
        </w:rPr>
        <w:t xml:space="preserve"> be instructive to </w:t>
      </w:r>
      <w:r>
        <w:rPr>
          <w:sz w:val="24"/>
          <w:szCs w:val="24"/>
        </w:rPr>
        <w:t xml:space="preserve">locally </w:t>
      </w:r>
      <w:r w:rsidR="00991DC1">
        <w:rPr>
          <w:sz w:val="24"/>
          <w:szCs w:val="24"/>
        </w:rPr>
        <w:t xml:space="preserve">retest the two weld leaks already </w:t>
      </w:r>
      <w:r>
        <w:rPr>
          <w:sz w:val="24"/>
          <w:szCs w:val="24"/>
        </w:rPr>
        <w:t xml:space="preserve">identified and </w:t>
      </w:r>
      <w:r w:rsidR="00991DC1">
        <w:rPr>
          <w:sz w:val="24"/>
          <w:szCs w:val="24"/>
        </w:rPr>
        <w:t>repaired</w:t>
      </w:r>
      <w:r>
        <w:rPr>
          <w:sz w:val="24"/>
          <w:szCs w:val="24"/>
        </w:rPr>
        <w:t>,</w:t>
      </w:r>
      <w:r w:rsidR="00991DC1">
        <w:rPr>
          <w:sz w:val="24"/>
          <w:szCs w:val="24"/>
        </w:rPr>
        <w:t xml:space="preserve"> </w:t>
      </w:r>
      <w:r w:rsidR="008C4418">
        <w:rPr>
          <w:sz w:val="24"/>
          <w:szCs w:val="24"/>
        </w:rPr>
        <w:t>using</w:t>
      </w:r>
      <w:r w:rsidR="00991DC1">
        <w:rPr>
          <w:sz w:val="24"/>
          <w:szCs w:val="24"/>
        </w:rPr>
        <w:t xml:space="preserve"> the</w:t>
      </w:r>
      <w:r w:rsidR="008C4418">
        <w:rPr>
          <w:sz w:val="24"/>
          <w:szCs w:val="24"/>
        </w:rPr>
        <w:t xml:space="preserve"> boosted</w:t>
      </w:r>
      <w:r w:rsidR="00991D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 </w:t>
      </w:r>
      <w:r w:rsidR="00991DC1">
        <w:rPr>
          <w:sz w:val="24"/>
          <w:szCs w:val="24"/>
        </w:rPr>
        <w:t>MSLD apparatus</w:t>
      </w:r>
      <w:r>
        <w:rPr>
          <w:sz w:val="24"/>
          <w:szCs w:val="24"/>
        </w:rPr>
        <w:t>.</w:t>
      </w:r>
    </w:p>
    <w:p w14:paraId="348C7EF4" w14:textId="77777777" w:rsidR="00991DC1" w:rsidRDefault="00991DC1" w:rsidP="00991DC1">
      <w:pPr>
        <w:jc w:val="both"/>
        <w:rPr>
          <w:sz w:val="24"/>
          <w:szCs w:val="24"/>
        </w:rPr>
      </w:pPr>
    </w:p>
    <w:p w14:paraId="0CEF19B4" w14:textId="77777777" w:rsidR="00991DC1" w:rsidRPr="00991DC1" w:rsidRDefault="00991DC1" w:rsidP="00991DC1">
      <w:pPr>
        <w:jc w:val="both"/>
        <w:rPr>
          <w:sz w:val="24"/>
          <w:szCs w:val="24"/>
        </w:rPr>
      </w:pPr>
    </w:p>
    <w:p w14:paraId="7F542188" w14:textId="77777777" w:rsidR="00991DC1" w:rsidRDefault="00991DC1" w:rsidP="00991DC1">
      <w:pPr>
        <w:jc w:val="both"/>
        <w:rPr>
          <w:sz w:val="24"/>
          <w:szCs w:val="24"/>
        </w:rPr>
      </w:pPr>
    </w:p>
    <w:p w14:paraId="5997625B" w14:textId="35CE08AD" w:rsidR="00991DC1" w:rsidRPr="00991DC1" w:rsidRDefault="00991DC1" w:rsidP="00991DC1">
      <w:pPr>
        <w:jc w:val="both"/>
        <w:rPr>
          <w:sz w:val="24"/>
          <w:szCs w:val="24"/>
        </w:rPr>
      </w:pPr>
    </w:p>
    <w:p w14:paraId="48F3A56F" w14:textId="6223BCF2" w:rsidR="0035517A" w:rsidRDefault="0035517A" w:rsidP="0035517A">
      <w:pPr>
        <w:pStyle w:val="RegPara"/>
        <w:keepNext/>
        <w:jc w:val="center"/>
      </w:pPr>
      <w:r>
        <w:rPr>
          <w:noProof/>
        </w:rPr>
        <w:drawing>
          <wp:inline distT="0" distB="0" distL="0" distR="0" wp14:anchorId="5D494CB5" wp14:editId="788C05A4">
            <wp:extent cx="5545667" cy="3560180"/>
            <wp:effectExtent l="0" t="0" r="0" b="0"/>
            <wp:docPr id="9" name="Picture 9" descr="Macintosh HD:Users:mike:Documents:Vacuum:LLO_YLEAK:20141117:Fi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ike:Documents:Vacuum:LLO_YLEAK:20141117:Fig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659" cy="356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B6248" w14:textId="2801A3EE" w:rsidR="0035517A" w:rsidRPr="0035517A" w:rsidRDefault="0035517A" w:rsidP="0035517A">
      <w:pPr>
        <w:pStyle w:val="Caption"/>
        <w:jc w:val="center"/>
      </w:pPr>
      <w:bookmarkStart w:id="1" w:name="_Ref277940788"/>
      <w:r>
        <w:t xml:space="preserve">Figure </w:t>
      </w:r>
      <w:fldSimple w:instr=" SEQ Figure \* ARABIC ">
        <w:r>
          <w:rPr>
            <w:noProof/>
          </w:rPr>
          <w:t>2</w:t>
        </w:r>
      </w:fldSimple>
      <w:bookmarkEnd w:id="1"/>
      <w:r>
        <w:t xml:space="preserve">: Hydrogen, nitrogen and water vapor ion currents with linear fits.  Water and nitrogen have been scaled </w:t>
      </w:r>
      <w:r w:rsidR="00991DC1">
        <w:t xml:space="preserve">up </w:t>
      </w:r>
      <w:r>
        <w:t xml:space="preserve">by a factor of 20 for visibility. </w:t>
      </w:r>
    </w:p>
    <w:p w14:paraId="24D646B0" w14:textId="77777777" w:rsidR="0035517A" w:rsidRPr="0035517A" w:rsidRDefault="0035517A" w:rsidP="000C78AF">
      <w:pPr>
        <w:pStyle w:val="RegPara"/>
        <w:jc w:val="center"/>
      </w:pPr>
    </w:p>
    <w:p w14:paraId="4B62A24E" w14:textId="77777777" w:rsidR="0035517A" w:rsidRPr="00F4433F" w:rsidRDefault="0035517A" w:rsidP="000C78AF">
      <w:pPr>
        <w:pStyle w:val="RegPara"/>
        <w:jc w:val="center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1619"/>
        <w:gridCol w:w="1619"/>
        <w:gridCol w:w="1297"/>
      </w:tblGrid>
      <w:tr w:rsidR="000C78AF" w:rsidRPr="00F4433F" w14:paraId="75DC1223" w14:textId="77777777" w:rsidTr="000C78AF">
        <w:trPr>
          <w:jc w:val="center"/>
        </w:trPr>
        <w:tc>
          <w:tcPr>
            <w:tcW w:w="1648" w:type="dxa"/>
            <w:vAlign w:val="center"/>
          </w:tcPr>
          <w:p w14:paraId="4FB4C4C9" w14:textId="77777777" w:rsidR="000C78AF" w:rsidRPr="00F4433F" w:rsidRDefault="000C78AF" w:rsidP="000C78AF">
            <w:pPr>
              <w:pStyle w:val="RegPara"/>
              <w:jc w:val="center"/>
              <w:rPr>
                <w:i/>
              </w:rPr>
            </w:pPr>
            <w:r w:rsidRPr="00F4433F">
              <w:rPr>
                <w:i/>
              </w:rPr>
              <w:t>Species</w:t>
            </w:r>
          </w:p>
        </w:tc>
        <w:tc>
          <w:tcPr>
            <w:tcW w:w="1619" w:type="dxa"/>
            <w:vAlign w:val="center"/>
          </w:tcPr>
          <w:p w14:paraId="64EE36E6" w14:textId="77777777" w:rsidR="000C78AF" w:rsidRDefault="000C78AF" w:rsidP="000C78AF">
            <w:pPr>
              <w:pStyle w:val="RegPara"/>
              <w:jc w:val="center"/>
              <w:rPr>
                <w:i/>
              </w:rPr>
            </w:pPr>
            <w:r>
              <w:rPr>
                <w:i/>
              </w:rPr>
              <w:t>Mean</w:t>
            </w:r>
          </w:p>
          <w:p w14:paraId="21BCF444" w14:textId="77777777" w:rsidR="000C78AF" w:rsidRDefault="000C78AF" w:rsidP="000C78AF">
            <w:pPr>
              <w:pStyle w:val="RegPara"/>
              <w:jc w:val="center"/>
              <w:rPr>
                <w:i/>
              </w:rPr>
            </w:pPr>
            <w:r>
              <w:rPr>
                <w:i/>
              </w:rPr>
              <w:t>(10</w:t>
            </w:r>
            <w:r w:rsidRPr="00C75EF8">
              <w:rPr>
                <w:i/>
                <w:vertAlign w:val="superscript"/>
              </w:rPr>
              <w:t>-</w:t>
            </w:r>
            <w:r>
              <w:rPr>
                <w:i/>
                <w:vertAlign w:val="superscript"/>
              </w:rPr>
              <w:t xml:space="preserve">8 </w:t>
            </w:r>
            <w:r>
              <w:rPr>
                <w:i/>
              </w:rPr>
              <w:t>Torr)</w:t>
            </w:r>
          </w:p>
        </w:tc>
        <w:tc>
          <w:tcPr>
            <w:tcW w:w="1619" w:type="dxa"/>
            <w:vAlign w:val="center"/>
          </w:tcPr>
          <w:p w14:paraId="68F39EF4" w14:textId="77777777" w:rsidR="000C78AF" w:rsidRDefault="000C78AF" w:rsidP="000C78AF">
            <w:pPr>
              <w:pStyle w:val="RegPara"/>
              <w:jc w:val="center"/>
              <w:rPr>
                <w:i/>
              </w:rPr>
            </w:pPr>
            <w:r>
              <w:rPr>
                <w:i/>
              </w:rPr>
              <w:t>Slope</w:t>
            </w:r>
          </w:p>
          <w:p w14:paraId="6525F711" w14:textId="77777777" w:rsidR="000C78AF" w:rsidRPr="00F4433F" w:rsidRDefault="000C78AF" w:rsidP="000C78AF">
            <w:pPr>
              <w:pStyle w:val="RegPara"/>
              <w:jc w:val="center"/>
              <w:rPr>
                <w:i/>
              </w:rPr>
            </w:pPr>
            <w:r>
              <w:rPr>
                <w:i/>
              </w:rPr>
              <w:t>(10</w:t>
            </w:r>
            <w:r w:rsidRPr="00B558DD">
              <w:rPr>
                <w:i/>
                <w:vertAlign w:val="superscript"/>
              </w:rPr>
              <w:t>-7</w:t>
            </w:r>
            <w:r>
              <w:rPr>
                <w:i/>
              </w:rPr>
              <w:t xml:space="preserve"> Tl/s)</w:t>
            </w:r>
          </w:p>
        </w:tc>
        <w:tc>
          <w:tcPr>
            <w:tcW w:w="1297" w:type="dxa"/>
            <w:vAlign w:val="center"/>
          </w:tcPr>
          <w:p w14:paraId="7C842DC0" w14:textId="77777777" w:rsidR="000C78AF" w:rsidRPr="00F4433F" w:rsidRDefault="000C78AF" w:rsidP="000C78AF">
            <w:pPr>
              <w:pStyle w:val="RegPara"/>
              <w:jc w:val="center"/>
              <w:rPr>
                <w:i/>
              </w:rPr>
            </w:pPr>
            <w:r>
              <w:rPr>
                <w:i/>
              </w:rPr>
              <w:t>Fit r</w:t>
            </w:r>
            <w:r w:rsidRPr="00F4433F">
              <w:rPr>
                <w:i/>
                <w:vertAlign w:val="superscript"/>
              </w:rPr>
              <w:t>2</w:t>
            </w:r>
          </w:p>
        </w:tc>
      </w:tr>
      <w:tr w:rsidR="000C78AF" w14:paraId="45B56C19" w14:textId="77777777" w:rsidTr="000C78AF">
        <w:trPr>
          <w:jc w:val="center"/>
        </w:trPr>
        <w:tc>
          <w:tcPr>
            <w:tcW w:w="1648" w:type="dxa"/>
          </w:tcPr>
          <w:p w14:paraId="16B0BE6E" w14:textId="77777777" w:rsidR="000C78AF" w:rsidRDefault="000C78AF" w:rsidP="000C78AF">
            <w:pPr>
              <w:pStyle w:val="RegPara"/>
              <w:jc w:val="center"/>
            </w:pPr>
            <w:r>
              <w:t>N</w:t>
            </w:r>
            <w:r w:rsidRPr="00B558DD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</w:t>
            </w:r>
          </w:p>
        </w:tc>
        <w:tc>
          <w:tcPr>
            <w:tcW w:w="1619" w:type="dxa"/>
          </w:tcPr>
          <w:p w14:paraId="1586433A" w14:textId="0CF1F00A" w:rsidR="000C78AF" w:rsidRDefault="000C78AF" w:rsidP="006625DA">
            <w:pPr>
              <w:pStyle w:val="RegPara"/>
              <w:jc w:val="center"/>
            </w:pPr>
            <w:r>
              <w:t>.074</w:t>
            </w:r>
          </w:p>
        </w:tc>
        <w:tc>
          <w:tcPr>
            <w:tcW w:w="1619" w:type="dxa"/>
          </w:tcPr>
          <w:p w14:paraId="5ACDC390" w14:textId="32735FA6" w:rsidR="000C78AF" w:rsidRDefault="000C78AF" w:rsidP="006625DA">
            <w:pPr>
              <w:pStyle w:val="RegPara"/>
              <w:jc w:val="center"/>
            </w:pPr>
            <w:r>
              <w:t>+</w:t>
            </w:r>
            <w:r w:rsidR="006625DA">
              <w:t xml:space="preserve"> </w:t>
            </w:r>
            <w:r>
              <w:t>.08</w:t>
            </w:r>
            <w:r w:rsidR="006625DA">
              <w:t>4</w:t>
            </w:r>
          </w:p>
        </w:tc>
        <w:tc>
          <w:tcPr>
            <w:tcW w:w="1297" w:type="dxa"/>
          </w:tcPr>
          <w:p w14:paraId="22D44DB2" w14:textId="77777777" w:rsidR="000C78AF" w:rsidRDefault="000C78AF" w:rsidP="000C78AF">
            <w:pPr>
              <w:pStyle w:val="RegPara"/>
              <w:jc w:val="center"/>
            </w:pPr>
            <w:r>
              <w:t>0.99</w:t>
            </w:r>
          </w:p>
        </w:tc>
      </w:tr>
      <w:tr w:rsidR="000C78AF" w14:paraId="5B3E0AA9" w14:textId="77777777" w:rsidTr="000C78AF">
        <w:trPr>
          <w:jc w:val="center"/>
        </w:trPr>
        <w:tc>
          <w:tcPr>
            <w:tcW w:w="1648" w:type="dxa"/>
          </w:tcPr>
          <w:p w14:paraId="5C00CB07" w14:textId="77777777" w:rsidR="000C78AF" w:rsidRDefault="000C78AF" w:rsidP="000C78AF">
            <w:pPr>
              <w:pStyle w:val="RegPara"/>
              <w:jc w:val="center"/>
            </w:pPr>
            <w:r>
              <w:t>H</w:t>
            </w:r>
            <w:r w:rsidRPr="00B558DD">
              <w:rPr>
                <w:vertAlign w:val="subscript"/>
              </w:rPr>
              <w:t>2</w:t>
            </w:r>
          </w:p>
        </w:tc>
        <w:tc>
          <w:tcPr>
            <w:tcW w:w="1619" w:type="dxa"/>
          </w:tcPr>
          <w:p w14:paraId="2579C47B" w14:textId="77777777" w:rsidR="000C78AF" w:rsidRDefault="000C78AF" w:rsidP="000C78AF">
            <w:pPr>
              <w:pStyle w:val="RegPara"/>
              <w:jc w:val="center"/>
            </w:pPr>
            <w:r>
              <w:t>1.92</w:t>
            </w:r>
          </w:p>
        </w:tc>
        <w:tc>
          <w:tcPr>
            <w:tcW w:w="1619" w:type="dxa"/>
          </w:tcPr>
          <w:p w14:paraId="4B735C9A" w14:textId="4611C305" w:rsidR="000C78AF" w:rsidRDefault="000C78AF" w:rsidP="000C78AF">
            <w:pPr>
              <w:pStyle w:val="RegPara"/>
              <w:jc w:val="center"/>
            </w:pPr>
            <w:r>
              <w:t>+</w:t>
            </w:r>
            <w:r w:rsidR="006625DA">
              <w:t xml:space="preserve"> </w:t>
            </w:r>
            <w:r>
              <w:t>4.69 *</w:t>
            </w:r>
          </w:p>
        </w:tc>
        <w:tc>
          <w:tcPr>
            <w:tcW w:w="1297" w:type="dxa"/>
          </w:tcPr>
          <w:p w14:paraId="23B46972" w14:textId="77777777" w:rsidR="000C78AF" w:rsidRDefault="000C78AF" w:rsidP="000C78AF">
            <w:pPr>
              <w:pStyle w:val="RegPara"/>
              <w:jc w:val="center"/>
            </w:pPr>
            <w:r>
              <w:t>0.99</w:t>
            </w:r>
          </w:p>
        </w:tc>
      </w:tr>
      <w:tr w:rsidR="000C78AF" w14:paraId="6D07670B" w14:textId="77777777" w:rsidTr="000C78AF">
        <w:trPr>
          <w:jc w:val="center"/>
        </w:trPr>
        <w:tc>
          <w:tcPr>
            <w:tcW w:w="1648" w:type="dxa"/>
          </w:tcPr>
          <w:p w14:paraId="762BE3D6" w14:textId="77777777" w:rsidR="000C78AF" w:rsidRDefault="000C78AF" w:rsidP="000C78AF">
            <w:pPr>
              <w:pStyle w:val="RegPara"/>
              <w:jc w:val="center"/>
            </w:pPr>
            <w:r>
              <w:t>H</w:t>
            </w:r>
            <w:r w:rsidRPr="00593830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619" w:type="dxa"/>
          </w:tcPr>
          <w:p w14:paraId="0CD07EE8" w14:textId="38925A31" w:rsidR="000C78AF" w:rsidRDefault="000C78AF" w:rsidP="006625DA">
            <w:pPr>
              <w:pStyle w:val="RegPara"/>
              <w:jc w:val="center"/>
            </w:pPr>
            <w:r>
              <w:t>.028</w:t>
            </w:r>
          </w:p>
        </w:tc>
        <w:tc>
          <w:tcPr>
            <w:tcW w:w="1619" w:type="dxa"/>
          </w:tcPr>
          <w:p w14:paraId="35A14EFE" w14:textId="0F292C10" w:rsidR="000C78AF" w:rsidRDefault="000C78AF" w:rsidP="000C78AF">
            <w:pPr>
              <w:pStyle w:val="RegPara"/>
              <w:jc w:val="center"/>
            </w:pPr>
            <w:r>
              <w:t>+</w:t>
            </w:r>
            <w:r w:rsidR="006625DA">
              <w:t xml:space="preserve"> </w:t>
            </w:r>
            <w:r>
              <w:t>.041 *</w:t>
            </w:r>
          </w:p>
        </w:tc>
        <w:tc>
          <w:tcPr>
            <w:tcW w:w="1297" w:type="dxa"/>
          </w:tcPr>
          <w:p w14:paraId="08602F68" w14:textId="77777777" w:rsidR="000C78AF" w:rsidRDefault="000C78AF" w:rsidP="000C78AF">
            <w:pPr>
              <w:pStyle w:val="RegPara"/>
              <w:jc w:val="center"/>
            </w:pPr>
            <w:r>
              <w:t>0.78</w:t>
            </w:r>
          </w:p>
        </w:tc>
      </w:tr>
      <w:tr w:rsidR="000C78AF" w14:paraId="6BE71909" w14:textId="77777777" w:rsidTr="000C78AF">
        <w:trPr>
          <w:trHeight w:val="286"/>
          <w:jc w:val="center"/>
        </w:trPr>
        <w:tc>
          <w:tcPr>
            <w:tcW w:w="1648" w:type="dxa"/>
          </w:tcPr>
          <w:p w14:paraId="50090F06" w14:textId="77777777" w:rsidR="000C78AF" w:rsidRDefault="000C78AF" w:rsidP="000C78AF">
            <w:pPr>
              <w:pStyle w:val="RegPara"/>
              <w:jc w:val="center"/>
            </w:pPr>
            <w:r>
              <w:t>Σ (2,18,28,40)</w:t>
            </w:r>
          </w:p>
        </w:tc>
        <w:tc>
          <w:tcPr>
            <w:tcW w:w="1619" w:type="dxa"/>
          </w:tcPr>
          <w:p w14:paraId="0692471A" w14:textId="77777777" w:rsidR="000C78AF" w:rsidRDefault="000C78AF" w:rsidP="000C78AF">
            <w:pPr>
              <w:pStyle w:val="RegPara"/>
              <w:jc w:val="center"/>
            </w:pPr>
            <w:r>
              <w:t>2.03</w:t>
            </w:r>
          </w:p>
        </w:tc>
        <w:tc>
          <w:tcPr>
            <w:tcW w:w="1619" w:type="dxa"/>
          </w:tcPr>
          <w:p w14:paraId="34BE75D4" w14:textId="77777777" w:rsidR="000C78AF" w:rsidRDefault="000C78AF" w:rsidP="000C78AF">
            <w:pPr>
              <w:pStyle w:val="RegPara"/>
              <w:jc w:val="center"/>
            </w:pPr>
            <w:r>
              <w:t>+ 4.82 *</w:t>
            </w:r>
          </w:p>
        </w:tc>
        <w:tc>
          <w:tcPr>
            <w:tcW w:w="1297" w:type="dxa"/>
          </w:tcPr>
          <w:p w14:paraId="09BB2780" w14:textId="77777777" w:rsidR="000C78AF" w:rsidRDefault="000C78AF" w:rsidP="000C78AF">
            <w:pPr>
              <w:pStyle w:val="RegPara"/>
              <w:jc w:val="center"/>
            </w:pPr>
            <w:r>
              <w:t>0.99</w:t>
            </w:r>
          </w:p>
        </w:tc>
      </w:tr>
      <w:tr w:rsidR="000C78AF" w14:paraId="4752F4AA" w14:textId="77777777" w:rsidTr="000C78AF">
        <w:trPr>
          <w:trHeight w:val="286"/>
          <w:jc w:val="center"/>
        </w:trPr>
        <w:tc>
          <w:tcPr>
            <w:tcW w:w="1648" w:type="dxa"/>
          </w:tcPr>
          <w:p w14:paraId="1BB86FAC" w14:textId="77777777" w:rsidR="000C78AF" w:rsidRDefault="000C78AF" w:rsidP="000C78AF">
            <w:pPr>
              <w:pStyle w:val="RegPara"/>
              <w:jc w:val="center"/>
            </w:pPr>
            <w:r>
              <w:t>cold cathodes</w:t>
            </w:r>
          </w:p>
        </w:tc>
        <w:tc>
          <w:tcPr>
            <w:tcW w:w="1619" w:type="dxa"/>
          </w:tcPr>
          <w:p w14:paraId="0DA0E7A3" w14:textId="77777777" w:rsidR="000C78AF" w:rsidRDefault="000C78AF" w:rsidP="000C78AF">
            <w:pPr>
              <w:pStyle w:val="RegPara"/>
              <w:jc w:val="center"/>
            </w:pPr>
            <w:r>
              <w:t>2.32</w:t>
            </w:r>
          </w:p>
        </w:tc>
        <w:tc>
          <w:tcPr>
            <w:tcW w:w="1619" w:type="dxa"/>
          </w:tcPr>
          <w:p w14:paraId="70E31CFF" w14:textId="77777777" w:rsidR="000C78AF" w:rsidRDefault="000C78AF" w:rsidP="000C78AF">
            <w:pPr>
              <w:pStyle w:val="RegPara"/>
              <w:jc w:val="center"/>
            </w:pPr>
            <w:r>
              <w:t>+ 5.03</w:t>
            </w:r>
          </w:p>
        </w:tc>
        <w:tc>
          <w:tcPr>
            <w:tcW w:w="1297" w:type="dxa"/>
          </w:tcPr>
          <w:p w14:paraId="53DC5919" w14:textId="77777777" w:rsidR="000C78AF" w:rsidRDefault="000C78AF" w:rsidP="0035517A">
            <w:pPr>
              <w:pStyle w:val="RegPara"/>
              <w:keepNext/>
              <w:jc w:val="center"/>
            </w:pPr>
            <w:r>
              <w:t>0.99</w:t>
            </w:r>
          </w:p>
        </w:tc>
      </w:tr>
    </w:tbl>
    <w:p w14:paraId="4858BC37" w14:textId="58AABB9E" w:rsidR="0035517A" w:rsidRDefault="0035517A">
      <w:pPr>
        <w:pStyle w:val="Caption"/>
      </w:pPr>
      <w:bookmarkStart w:id="2" w:name="_Ref277940676"/>
      <w:r>
        <w:t xml:space="preserve">Table </w:t>
      </w:r>
      <w:fldSimple w:instr=" SEQ Table \* ARABIC ">
        <w:r>
          <w:rPr>
            <w:noProof/>
          </w:rPr>
          <w:t>1</w:t>
        </w:r>
      </w:fldSimple>
      <w:bookmarkEnd w:id="2"/>
      <w:r>
        <w:t>:</w:t>
      </w:r>
      <w:r w:rsidRPr="0035517A">
        <w:t xml:space="preserve"> </w:t>
      </w:r>
      <w:r w:rsidR="00EC3684">
        <w:t>Fitted residual gas flux</w:t>
      </w:r>
      <w:r>
        <w:t xml:space="preserve"> during passive accumulation, using calibration of 900 Torr/ampere.  The mean tube wall temperature was 14.2 C</w:t>
      </w:r>
      <w:r w:rsidR="00991DC1">
        <w:t xml:space="preserve"> over the test duration.</w:t>
      </w:r>
      <w:r>
        <w:t xml:space="preserve">  (</w:t>
      </w:r>
      <w:r w:rsidRPr="004B79F6">
        <w:t>* = air-equivalent</w:t>
      </w:r>
      <w:r>
        <w:t xml:space="preserve"> ionization).</w:t>
      </w:r>
    </w:p>
    <w:p w14:paraId="2FAE90A2" w14:textId="77777777" w:rsidR="0035517A" w:rsidRDefault="0035517A" w:rsidP="00E52DFE">
      <w:pPr>
        <w:pStyle w:val="RegPara"/>
        <w:jc w:val="both"/>
        <w:rPr>
          <w:i/>
        </w:rPr>
      </w:pPr>
    </w:p>
    <w:p w14:paraId="57562847" w14:textId="4C42CC44" w:rsidR="00E52DFE" w:rsidRDefault="00E52DFE" w:rsidP="00E52DFE">
      <w:pPr>
        <w:pStyle w:val="RegPara"/>
        <w:jc w:val="both"/>
      </w:pPr>
      <w:r w:rsidRPr="00570F0A">
        <w:rPr>
          <w:i/>
        </w:rPr>
        <w:t>Hydrogen:</w:t>
      </w:r>
      <w:r>
        <w:t xml:space="preserve"> After correcting for </w:t>
      </w:r>
      <w:r w:rsidR="008D4698">
        <w:t xml:space="preserve">hydrogen's reduced </w:t>
      </w:r>
      <w:r>
        <w:t>ionization cross-section with respect to air (</w:t>
      </w:r>
      <w:r w:rsidR="001A1AB6">
        <w:t xml:space="preserve">typically quoted as a </w:t>
      </w:r>
      <w:r>
        <w:t>factor of 2.4)</w:t>
      </w:r>
      <w:r w:rsidR="008F48D2">
        <w:t>,</w:t>
      </w:r>
      <w:r>
        <w:t xml:space="preserve"> the implied </w:t>
      </w:r>
      <w:r w:rsidR="00AA7427">
        <w:t xml:space="preserve">tube </w:t>
      </w:r>
      <w:r w:rsidR="00C75EF8">
        <w:t xml:space="preserve">wall desorption </w:t>
      </w:r>
      <w:r>
        <w:t xml:space="preserve">flux is </w:t>
      </w:r>
    </w:p>
    <w:p w14:paraId="1F540808" w14:textId="77777777" w:rsidR="00E52DFE" w:rsidRDefault="00E52DFE" w:rsidP="00E52DFE">
      <w:pPr>
        <w:pStyle w:val="RegPara"/>
        <w:jc w:val="both"/>
      </w:pPr>
    </w:p>
    <w:p w14:paraId="75C4E562" w14:textId="60CC364E" w:rsidR="00E52DFE" w:rsidRDefault="00E52DFE" w:rsidP="00E52DFE">
      <w:pPr>
        <w:pStyle w:val="RegPara"/>
        <w:jc w:val="center"/>
      </w:pPr>
      <w:r>
        <w:t>&lt;</w:t>
      </w:r>
      <w:r w:rsidRPr="00124677">
        <w:rPr>
          <w:i/>
        </w:rPr>
        <w:t>J</w:t>
      </w:r>
      <w:r w:rsidRPr="00124677">
        <w:rPr>
          <w:i/>
          <w:vertAlign w:val="subscript"/>
        </w:rPr>
        <w:t>H</w:t>
      </w:r>
      <w:r w:rsidRPr="001A1AB6">
        <w:rPr>
          <w:i/>
          <w:vertAlign w:val="subscript"/>
        </w:rPr>
        <w:t>2</w:t>
      </w:r>
      <w:r>
        <w:t xml:space="preserve">&gt; = </w:t>
      </w:r>
      <w:r w:rsidR="008C4418">
        <w:t>7.3</w:t>
      </w:r>
      <w:r>
        <w:t xml:space="preserve"> x 10</w:t>
      </w:r>
      <w:r w:rsidRPr="00124677">
        <w:rPr>
          <w:vertAlign w:val="superscript"/>
        </w:rPr>
        <w:t>-1</w:t>
      </w:r>
      <w:r w:rsidR="008C4418">
        <w:rPr>
          <w:vertAlign w:val="superscript"/>
        </w:rPr>
        <w:t xml:space="preserve">5  </w:t>
      </w:r>
      <w:r>
        <w:t>Tl/s/cm</w:t>
      </w:r>
      <w:r w:rsidRPr="00124677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@ </w:t>
      </w:r>
      <w:r w:rsidR="008C4418">
        <w:t>1</w:t>
      </w:r>
      <w:r>
        <w:t>4.</w:t>
      </w:r>
      <w:r w:rsidR="008C4418">
        <w:t>2</w:t>
      </w:r>
      <w:r>
        <w:t xml:space="preserve"> C</w:t>
      </w:r>
    </w:p>
    <w:p w14:paraId="1DA0CF93" w14:textId="77777777" w:rsidR="00E52DFE" w:rsidRDefault="00E52DFE" w:rsidP="00E52DFE">
      <w:pPr>
        <w:pStyle w:val="RegPara"/>
        <w:jc w:val="center"/>
      </w:pPr>
    </w:p>
    <w:p w14:paraId="0528169B" w14:textId="630F8C13" w:rsidR="00E52DFE" w:rsidRDefault="00E52DFE" w:rsidP="00C75EF8">
      <w:pPr>
        <w:pStyle w:val="RegPara"/>
      </w:pPr>
      <w:r>
        <w:t>According to Weiss</w:t>
      </w:r>
      <w:r w:rsidR="002F2515">
        <w:rPr>
          <w:rStyle w:val="FootnoteReference"/>
        </w:rPr>
        <w:footnoteReference w:id="3"/>
      </w:r>
      <w:r>
        <w:t xml:space="preserve">, </w:t>
      </w:r>
      <w:r w:rsidR="00B139C3">
        <w:t xml:space="preserve">the </w:t>
      </w:r>
      <w:r>
        <w:t>original H</w:t>
      </w:r>
      <w:r w:rsidRPr="009840FA">
        <w:rPr>
          <w:vertAlign w:val="subscript"/>
        </w:rPr>
        <w:t>2</w:t>
      </w:r>
      <w:r w:rsidR="00C75EF8">
        <w:t xml:space="preserve"> desorption</w:t>
      </w:r>
      <w:r>
        <w:t xml:space="preserve"> measured after bakeout (averaged between Y1 and Y2</w:t>
      </w:r>
      <w:r w:rsidR="00C75EF8">
        <w:t>,</w:t>
      </w:r>
      <w:r>
        <w:t xml:space="preserve"> </w:t>
      </w:r>
      <w:r w:rsidR="00B139C3">
        <w:t xml:space="preserve">and </w:t>
      </w:r>
      <w:r>
        <w:t xml:space="preserve">corrected to </w:t>
      </w:r>
      <w:r w:rsidR="008C4418">
        <w:t>1</w:t>
      </w:r>
      <w:r>
        <w:t>4.</w:t>
      </w:r>
      <w:r w:rsidR="008C4418">
        <w:t>2</w:t>
      </w:r>
      <w:r>
        <w:t xml:space="preserve"> C) was about </w:t>
      </w:r>
      <w:r w:rsidR="00B139C3">
        <w:t>1.</w:t>
      </w:r>
      <w:r w:rsidR="006A1A23">
        <w:t>0</w:t>
      </w:r>
      <w:r w:rsidR="00C75EF8">
        <w:t xml:space="preserve"> x 10</w:t>
      </w:r>
      <w:r w:rsidR="00C75EF8" w:rsidRPr="009840FA">
        <w:rPr>
          <w:vertAlign w:val="superscript"/>
        </w:rPr>
        <w:t>-14</w:t>
      </w:r>
      <w:r w:rsidR="00C75EF8">
        <w:t xml:space="preserve"> Tl/s/cm</w:t>
      </w:r>
      <w:r w:rsidR="00C75EF8" w:rsidRPr="009840FA">
        <w:rPr>
          <w:vertAlign w:val="superscript"/>
        </w:rPr>
        <w:t>2</w:t>
      </w:r>
      <w:r w:rsidR="00C75EF8">
        <w:t xml:space="preserve">. </w:t>
      </w:r>
      <w:r w:rsidR="001A1AB6">
        <w:t xml:space="preserve"> </w:t>
      </w:r>
    </w:p>
    <w:p w14:paraId="188A725F" w14:textId="21D5FB9A" w:rsidR="007916F9" w:rsidRDefault="008C4BC3" w:rsidP="008C4418">
      <w:pPr>
        <w:pStyle w:val="RegPara"/>
      </w:pPr>
      <w:r>
        <w:t xml:space="preserve"> </w:t>
      </w:r>
    </w:p>
    <w:p w14:paraId="22CD5045" w14:textId="77777777" w:rsidR="00501AB7" w:rsidRDefault="00501AB7" w:rsidP="007916F9">
      <w:pPr>
        <w:pStyle w:val="RegPara"/>
      </w:pPr>
    </w:p>
    <w:p w14:paraId="2257F740" w14:textId="4DBF4D50" w:rsidR="001D53A7" w:rsidRDefault="008C4418" w:rsidP="008C4418">
      <w:pPr>
        <w:pStyle w:val="RegPara"/>
      </w:pPr>
      <w:r>
        <w:rPr>
          <w:i/>
        </w:rPr>
        <w:t>Water vapor</w:t>
      </w:r>
      <w:r w:rsidR="00501AB7" w:rsidRPr="00501AB7">
        <w:rPr>
          <w:i/>
        </w:rPr>
        <w:t>:</w:t>
      </w:r>
      <w:r w:rsidR="00501AB7">
        <w:t xml:space="preserve"> </w:t>
      </w:r>
      <w:r w:rsidR="001A1AB6">
        <w:t xml:space="preserve">Similarly, we can take the rate of rise at 18 AMU as a rough indicator of the water desorption rate. </w:t>
      </w:r>
      <w:r w:rsidR="00EC3684">
        <w:t xml:space="preserve">The </w:t>
      </w:r>
      <w:r w:rsidR="001A1AB6">
        <w:t xml:space="preserve">water acquired from </w:t>
      </w:r>
      <w:r w:rsidR="00EC3684">
        <w:t>atmpospheric</w:t>
      </w:r>
      <w:r w:rsidR="001A1AB6">
        <w:t xml:space="preserve"> leaks could remain spatially concentrated near the</w:t>
      </w:r>
      <w:r w:rsidR="00EC3684">
        <w:t xml:space="preserve"> entry points </w:t>
      </w:r>
      <w:r w:rsidR="001A1AB6">
        <w:t xml:space="preserve">(which are close to </w:t>
      </w:r>
      <w:r w:rsidR="00EC3684">
        <w:t>our</w:t>
      </w:r>
      <w:r w:rsidR="001A1AB6">
        <w:t xml:space="preserve"> sampling point, </w:t>
      </w:r>
      <w:r w:rsidR="00EC3684">
        <w:t xml:space="preserve">the tube midstation). However, </w:t>
      </w:r>
      <w:r w:rsidR="001A1AB6">
        <w:t xml:space="preserve">if we </w:t>
      </w:r>
      <w:r w:rsidR="005B3F39">
        <w:t xml:space="preserve">instead </w:t>
      </w:r>
      <w:r w:rsidR="001A1AB6">
        <w:t xml:space="preserve">presume it is uniformly  distributed we find </w:t>
      </w:r>
    </w:p>
    <w:p w14:paraId="080B04E3" w14:textId="77777777" w:rsidR="001A1AB6" w:rsidRDefault="001A1AB6" w:rsidP="008C4418">
      <w:pPr>
        <w:pStyle w:val="RegPara"/>
      </w:pPr>
    </w:p>
    <w:p w14:paraId="4578193D" w14:textId="006A1681" w:rsidR="001A1AB6" w:rsidRDefault="001A1AB6" w:rsidP="001A1AB6">
      <w:pPr>
        <w:pStyle w:val="RegPara"/>
        <w:jc w:val="center"/>
      </w:pPr>
      <w:r>
        <w:t>&lt;</w:t>
      </w:r>
      <w:r w:rsidRPr="00124677">
        <w:rPr>
          <w:i/>
        </w:rPr>
        <w:t>J</w:t>
      </w:r>
      <w:r w:rsidRPr="00124677">
        <w:rPr>
          <w:i/>
          <w:vertAlign w:val="subscript"/>
        </w:rPr>
        <w:t>H</w:t>
      </w:r>
      <w:r w:rsidRPr="001A1AB6">
        <w:rPr>
          <w:i/>
          <w:vertAlign w:val="subscript"/>
        </w:rPr>
        <w:t>2</w:t>
      </w:r>
      <w:r>
        <w:rPr>
          <w:i/>
          <w:vertAlign w:val="subscript"/>
        </w:rPr>
        <w:t>O</w:t>
      </w:r>
      <w:r>
        <w:t>&gt; = 2.4 x 10</w:t>
      </w:r>
      <w:r w:rsidRPr="00124677">
        <w:rPr>
          <w:vertAlign w:val="superscript"/>
        </w:rPr>
        <w:t>-1</w:t>
      </w:r>
      <w:r>
        <w:rPr>
          <w:vertAlign w:val="superscript"/>
        </w:rPr>
        <w:t xml:space="preserve">7  </w:t>
      </w:r>
      <w:r>
        <w:t>Tl/s/cm</w:t>
      </w:r>
      <w:r w:rsidRPr="00124677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@ 14.2 C</w:t>
      </w:r>
    </w:p>
    <w:p w14:paraId="089A199A" w14:textId="77777777" w:rsidR="00EC3684" w:rsidRDefault="00EC3684" w:rsidP="00EC3684">
      <w:pPr>
        <w:pStyle w:val="RegPara"/>
      </w:pPr>
    </w:p>
    <w:p w14:paraId="58DC4EFF" w14:textId="0C348960" w:rsidR="001A1AB6" w:rsidRDefault="00EC3684" w:rsidP="008C4418">
      <w:pPr>
        <w:pStyle w:val="RegPara"/>
      </w:pPr>
      <w:r>
        <w:t xml:space="preserve">This appears within the range initially deemed acceptable for the tubes, suggesting that we did </w:t>
      </w:r>
      <w:r w:rsidRPr="00D92C51">
        <w:rPr>
          <w:i/>
        </w:rPr>
        <w:t>not</w:t>
      </w:r>
      <w:r>
        <w:t xml:space="preserve"> lose too much ground to re-deposition of water</w:t>
      </w:r>
      <w:r w:rsidR="007208F2">
        <w:t xml:space="preserve"> during the period of heavy leakage</w:t>
      </w:r>
      <w:r>
        <w:t xml:space="preserve"> from 2008 through 2012. </w:t>
      </w:r>
      <w:r w:rsidR="00D92C51">
        <w:t xml:space="preserve"> Indeed, the </w:t>
      </w:r>
      <w:r w:rsidR="005B3F39">
        <w:t xml:space="preserve">steady-state </w:t>
      </w:r>
      <w:r w:rsidR="00D92C51">
        <w:t xml:space="preserve">water partial pressure </w:t>
      </w:r>
      <w:r w:rsidR="005B3F39">
        <w:t>at the midpoint prior to</w:t>
      </w:r>
      <w:r w:rsidR="00D92C51">
        <w:t xml:space="preserve"> the </w:t>
      </w:r>
      <w:r w:rsidR="005B3F39">
        <w:t>test (while end-pumped) only exceeded our ultimate water vapor goal of 10</w:t>
      </w:r>
      <w:r w:rsidR="005B3F39" w:rsidRPr="005B3F39">
        <w:rPr>
          <w:vertAlign w:val="superscript"/>
        </w:rPr>
        <w:t>-10</w:t>
      </w:r>
      <w:r w:rsidR="005B3F39">
        <w:t xml:space="preserve"> Torr by a factor of 1.5. </w:t>
      </w:r>
    </w:p>
    <w:p w14:paraId="00EDFDA7" w14:textId="77777777" w:rsidR="001A1AB6" w:rsidRDefault="001A1AB6" w:rsidP="008C4418">
      <w:pPr>
        <w:pStyle w:val="RegPara"/>
      </w:pPr>
      <w:bookmarkStart w:id="3" w:name="_GoBack"/>
      <w:bookmarkEnd w:id="3"/>
    </w:p>
    <w:sectPr w:rsidR="001A1AB6" w:rsidSect="000F618D">
      <w:footerReference w:type="default" r:id="rId12"/>
      <w:pgSz w:w="12240" w:h="15840" w:code="1"/>
      <w:pgMar w:top="1267" w:right="1800" w:bottom="1440" w:left="180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82DB5" w14:textId="77777777" w:rsidR="00D92C51" w:rsidRDefault="00D92C51">
      <w:r>
        <w:separator/>
      </w:r>
    </w:p>
  </w:endnote>
  <w:endnote w:type="continuationSeparator" w:id="0">
    <w:p w14:paraId="6A925DE7" w14:textId="77777777" w:rsidR="00D92C51" w:rsidRDefault="00D9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94EBD" w14:textId="77777777" w:rsidR="00D92C51" w:rsidRDefault="00D92C51">
    <w:pPr>
      <w:pStyle w:val="Footer"/>
      <w:tabs>
        <w:tab w:val="clear" w:pos="4320"/>
        <w:tab w:val="clear" w:pos="8640"/>
        <w:tab w:val="left" w:pos="3060"/>
        <w:tab w:val="left" w:pos="7830"/>
      </w:tabs>
    </w:pPr>
    <w:r>
      <w:rPr>
        <w:rFonts w:ascii="Arial" w:hAnsi="Arial"/>
        <w:i/>
        <w:sz w:val="14"/>
      </w:rPr>
      <w:tab/>
      <w:t>CALIFORNIA INSTITUTE OF TECHNOLOGY</w:t>
    </w:r>
    <w:r>
      <w:rPr>
        <w:rFonts w:ascii="Arial" w:hAnsi="Arial"/>
        <w:i/>
        <w:sz w:val="14"/>
      </w:rPr>
      <w:tab/>
    </w:r>
    <w:r>
      <w:rPr>
        <w:rFonts w:ascii="Arial" w:hAnsi="Arial"/>
        <w:snapToGrid w:val="0"/>
        <w:sz w:val="14"/>
      </w:rPr>
      <w:t xml:space="preserve">Page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7208F2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of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7208F2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85EFA" w14:textId="77777777" w:rsidR="00D92C51" w:rsidRDefault="00D92C51">
      <w:r>
        <w:separator/>
      </w:r>
    </w:p>
  </w:footnote>
  <w:footnote w:type="continuationSeparator" w:id="0">
    <w:p w14:paraId="308D1BE6" w14:textId="77777777" w:rsidR="00D92C51" w:rsidRDefault="00D92C51">
      <w:r>
        <w:continuationSeparator/>
      </w:r>
    </w:p>
  </w:footnote>
  <w:footnote w:id="1">
    <w:p w14:paraId="1B5F8854" w14:textId="4C9C4B55" w:rsidR="00D92C51" w:rsidRDefault="00D92C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T13010</w:t>
        </w:r>
        <w:r w:rsidRPr="006A1A23">
          <w:rPr>
            <w:rStyle w:val="Hyperlink"/>
          </w:rPr>
          <w:t>07</w:t>
        </w:r>
      </w:hyperlink>
    </w:p>
  </w:footnote>
  <w:footnote w:id="2">
    <w:p w14:paraId="002649F2" w14:textId="6015E336" w:rsidR="00D92C51" w:rsidRDefault="00D92C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6A1A23">
          <w:rPr>
            <w:rStyle w:val="Hyperlink"/>
          </w:rPr>
          <w:t>T1400243</w:t>
        </w:r>
      </w:hyperlink>
      <w:r>
        <w:t xml:space="preserve">, </w:t>
      </w:r>
      <w:hyperlink r:id="rId3" w:history="1">
        <w:r w:rsidRPr="006A1A23">
          <w:rPr>
            <w:rStyle w:val="Hyperlink"/>
          </w:rPr>
          <w:t>T1400285</w:t>
        </w:r>
      </w:hyperlink>
      <w:r>
        <w:t xml:space="preserve">, </w:t>
      </w:r>
      <w:hyperlink r:id="rId4" w:history="1">
        <w:r w:rsidRPr="006A1A23">
          <w:rPr>
            <w:rStyle w:val="Hyperlink"/>
          </w:rPr>
          <w:t>T1400439</w:t>
        </w:r>
      </w:hyperlink>
      <w:r>
        <w:t xml:space="preserve">, </w:t>
      </w:r>
    </w:p>
  </w:footnote>
  <w:footnote w:id="3">
    <w:p w14:paraId="11E5539D" w14:textId="0C187C1C" w:rsidR="00D92C51" w:rsidRPr="002F2515" w:rsidRDefault="00D92C51">
      <w:pPr>
        <w:pStyle w:val="FootnoteText"/>
        <w:rPr>
          <w:sz w:val="20"/>
          <w:szCs w:val="20"/>
        </w:rPr>
      </w:pPr>
      <w:r w:rsidRPr="002F2515">
        <w:rPr>
          <w:rStyle w:val="FootnoteReference"/>
          <w:sz w:val="20"/>
          <w:szCs w:val="20"/>
        </w:rPr>
        <w:footnoteRef/>
      </w:r>
      <w:r w:rsidRPr="002F2515">
        <w:rPr>
          <w:sz w:val="20"/>
          <w:szCs w:val="20"/>
        </w:rPr>
        <w:t xml:space="preserve"> </w:t>
      </w:r>
      <w:hyperlink r:id="rId5" w:history="1">
        <w:r w:rsidRPr="002F2515">
          <w:rPr>
            <w:rStyle w:val="Hyperlink"/>
            <w:sz w:val="20"/>
            <w:szCs w:val="20"/>
          </w:rPr>
          <w:t>LIGO-G1300116</w:t>
        </w:r>
      </w:hyperlink>
      <w:r w:rsidR="007208F2">
        <w:rPr>
          <w:sz w:val="20"/>
          <w:szCs w:val="20"/>
        </w:rPr>
        <w:t xml:space="preserve">, </w:t>
      </w:r>
      <w:r>
        <w:rPr>
          <w:sz w:val="20"/>
          <w:szCs w:val="20"/>
        </w:rPr>
        <w:t>p.43. Note that the H</w:t>
      </w:r>
      <w:r w:rsidRPr="002F2515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figure </w:t>
      </w:r>
      <w:r w:rsidR="007208F2">
        <w:rPr>
          <w:sz w:val="20"/>
          <w:szCs w:val="20"/>
        </w:rPr>
        <w:t xml:space="preserve">cited </w:t>
      </w:r>
      <w:r>
        <w:rPr>
          <w:sz w:val="20"/>
          <w:szCs w:val="20"/>
        </w:rPr>
        <w:t>for Livingston Y2 is missing a decimal point. The correct value is 2.6 x 10</w:t>
      </w:r>
      <w:r w:rsidRPr="002F2515">
        <w:rPr>
          <w:sz w:val="20"/>
          <w:szCs w:val="20"/>
          <w:vertAlign w:val="superscript"/>
        </w:rPr>
        <w:t>-14</w:t>
      </w:r>
      <w:r>
        <w:rPr>
          <w:sz w:val="20"/>
          <w:szCs w:val="20"/>
        </w:rPr>
        <w:t xml:space="preserve"> Tl/s/cm</w:t>
      </w:r>
      <w:r w:rsidRPr="002F2515">
        <w:rPr>
          <w:sz w:val="20"/>
          <w:szCs w:val="20"/>
          <w:vertAlign w:val="superscript"/>
        </w:rPr>
        <w:t>2</w:t>
      </w:r>
      <w:r w:rsidR="007208F2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F933BA"/>
    <w:multiLevelType w:val="hybridMultilevel"/>
    <w:tmpl w:val="5D9A5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23137"/>
    <w:multiLevelType w:val="hybridMultilevel"/>
    <w:tmpl w:val="8F7E7C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0E2CEF"/>
    <w:multiLevelType w:val="hybridMultilevel"/>
    <w:tmpl w:val="20E8E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002E1"/>
    <w:multiLevelType w:val="hybridMultilevel"/>
    <w:tmpl w:val="4412E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665915"/>
    <w:multiLevelType w:val="hybridMultilevel"/>
    <w:tmpl w:val="827AF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0249B3"/>
    <w:multiLevelType w:val="hybridMultilevel"/>
    <w:tmpl w:val="4678D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E338EE"/>
    <w:multiLevelType w:val="hybridMultilevel"/>
    <w:tmpl w:val="7E3A1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564E03"/>
    <w:multiLevelType w:val="hybridMultilevel"/>
    <w:tmpl w:val="2200C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A42A36"/>
    <w:multiLevelType w:val="hybridMultilevel"/>
    <w:tmpl w:val="20385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2F2902"/>
    <w:multiLevelType w:val="hybridMultilevel"/>
    <w:tmpl w:val="EAD8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1075FC"/>
    <w:multiLevelType w:val="hybridMultilevel"/>
    <w:tmpl w:val="51429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0F0E51"/>
    <w:multiLevelType w:val="hybridMultilevel"/>
    <w:tmpl w:val="E918B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2D2FE1"/>
    <w:multiLevelType w:val="hybridMultilevel"/>
    <w:tmpl w:val="05C24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0"/>
  </w:num>
  <w:num w:numId="7">
    <w:abstractNumId w:val="9"/>
  </w:num>
  <w:num w:numId="8">
    <w:abstractNumId w:val="3"/>
  </w:num>
  <w:num w:numId="9">
    <w:abstractNumId w:val="7"/>
  </w:num>
  <w:num w:numId="10">
    <w:abstractNumId w:val="13"/>
  </w:num>
  <w:num w:numId="11">
    <w:abstractNumId w:val="5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76"/>
    <w:rsid w:val="0000080A"/>
    <w:rsid w:val="000068A8"/>
    <w:rsid w:val="00010DB5"/>
    <w:rsid w:val="0001263D"/>
    <w:rsid w:val="00016077"/>
    <w:rsid w:val="00026B7B"/>
    <w:rsid w:val="00054B9B"/>
    <w:rsid w:val="0006052F"/>
    <w:rsid w:val="00062B9F"/>
    <w:rsid w:val="00077F03"/>
    <w:rsid w:val="00085959"/>
    <w:rsid w:val="00097657"/>
    <w:rsid w:val="000A1BC1"/>
    <w:rsid w:val="000A1F85"/>
    <w:rsid w:val="000B6C4B"/>
    <w:rsid w:val="000C78AF"/>
    <w:rsid w:val="000F45A3"/>
    <w:rsid w:val="000F618D"/>
    <w:rsid w:val="00101A46"/>
    <w:rsid w:val="00123AA7"/>
    <w:rsid w:val="00124677"/>
    <w:rsid w:val="00124D94"/>
    <w:rsid w:val="00137F7C"/>
    <w:rsid w:val="00167B17"/>
    <w:rsid w:val="001704F6"/>
    <w:rsid w:val="00182071"/>
    <w:rsid w:val="00185BCB"/>
    <w:rsid w:val="0019244B"/>
    <w:rsid w:val="001A1AB6"/>
    <w:rsid w:val="001C10D1"/>
    <w:rsid w:val="001C3A06"/>
    <w:rsid w:val="001D1BF0"/>
    <w:rsid w:val="001D53A7"/>
    <w:rsid w:val="001E35A8"/>
    <w:rsid w:val="001F2185"/>
    <w:rsid w:val="001F4822"/>
    <w:rsid w:val="0020292A"/>
    <w:rsid w:val="00212A33"/>
    <w:rsid w:val="00223BB2"/>
    <w:rsid w:val="00227481"/>
    <w:rsid w:val="00236C79"/>
    <w:rsid w:val="00244CE6"/>
    <w:rsid w:val="00257B14"/>
    <w:rsid w:val="00257B82"/>
    <w:rsid w:val="002749E3"/>
    <w:rsid w:val="0028269C"/>
    <w:rsid w:val="002A73DA"/>
    <w:rsid w:val="002C1668"/>
    <w:rsid w:val="002C1EF4"/>
    <w:rsid w:val="002D237F"/>
    <w:rsid w:val="002D7346"/>
    <w:rsid w:val="002F1368"/>
    <w:rsid w:val="002F2515"/>
    <w:rsid w:val="002F6423"/>
    <w:rsid w:val="00306AC3"/>
    <w:rsid w:val="003075A0"/>
    <w:rsid w:val="00314D6D"/>
    <w:rsid w:val="003234A5"/>
    <w:rsid w:val="00323D25"/>
    <w:rsid w:val="00342194"/>
    <w:rsid w:val="00342BD4"/>
    <w:rsid w:val="003478D0"/>
    <w:rsid w:val="0035517A"/>
    <w:rsid w:val="003606CE"/>
    <w:rsid w:val="003613A8"/>
    <w:rsid w:val="003616C3"/>
    <w:rsid w:val="00366A5D"/>
    <w:rsid w:val="00366DB6"/>
    <w:rsid w:val="00376C04"/>
    <w:rsid w:val="003A770C"/>
    <w:rsid w:val="003C6EE5"/>
    <w:rsid w:val="003D2CAE"/>
    <w:rsid w:val="00404A09"/>
    <w:rsid w:val="004320B8"/>
    <w:rsid w:val="00440F9D"/>
    <w:rsid w:val="00495D73"/>
    <w:rsid w:val="004B0263"/>
    <w:rsid w:val="004B79F6"/>
    <w:rsid w:val="004E3F02"/>
    <w:rsid w:val="005012FC"/>
    <w:rsid w:val="00501AB7"/>
    <w:rsid w:val="00516164"/>
    <w:rsid w:val="00544D8D"/>
    <w:rsid w:val="0055110B"/>
    <w:rsid w:val="00570F0A"/>
    <w:rsid w:val="0058216A"/>
    <w:rsid w:val="005859C8"/>
    <w:rsid w:val="00587AFA"/>
    <w:rsid w:val="00593830"/>
    <w:rsid w:val="00594D29"/>
    <w:rsid w:val="005959A7"/>
    <w:rsid w:val="005A668D"/>
    <w:rsid w:val="005A7AD7"/>
    <w:rsid w:val="005B29AB"/>
    <w:rsid w:val="005B2EC0"/>
    <w:rsid w:val="005B3F39"/>
    <w:rsid w:val="005D6516"/>
    <w:rsid w:val="00600F94"/>
    <w:rsid w:val="006069D2"/>
    <w:rsid w:val="006144E0"/>
    <w:rsid w:val="00631F58"/>
    <w:rsid w:val="0064424C"/>
    <w:rsid w:val="00645089"/>
    <w:rsid w:val="00647F1E"/>
    <w:rsid w:val="00652A65"/>
    <w:rsid w:val="006625DA"/>
    <w:rsid w:val="00662DDD"/>
    <w:rsid w:val="0067658E"/>
    <w:rsid w:val="00685AD8"/>
    <w:rsid w:val="0069038E"/>
    <w:rsid w:val="00691EB6"/>
    <w:rsid w:val="0069323F"/>
    <w:rsid w:val="00697CF4"/>
    <w:rsid w:val="006A1A23"/>
    <w:rsid w:val="006A447A"/>
    <w:rsid w:val="006B029A"/>
    <w:rsid w:val="006B7E69"/>
    <w:rsid w:val="006C06D7"/>
    <w:rsid w:val="006C48D3"/>
    <w:rsid w:val="006D4C7C"/>
    <w:rsid w:val="006F2D8E"/>
    <w:rsid w:val="00714000"/>
    <w:rsid w:val="007208F2"/>
    <w:rsid w:val="007355DA"/>
    <w:rsid w:val="00753F77"/>
    <w:rsid w:val="00754EE5"/>
    <w:rsid w:val="007916F9"/>
    <w:rsid w:val="007B36AA"/>
    <w:rsid w:val="007B7F9C"/>
    <w:rsid w:val="007F16D2"/>
    <w:rsid w:val="00824CE4"/>
    <w:rsid w:val="00865CDC"/>
    <w:rsid w:val="00874633"/>
    <w:rsid w:val="0087695C"/>
    <w:rsid w:val="0087768D"/>
    <w:rsid w:val="00880F08"/>
    <w:rsid w:val="00896DF9"/>
    <w:rsid w:val="008B679C"/>
    <w:rsid w:val="008C4418"/>
    <w:rsid w:val="008C4BC3"/>
    <w:rsid w:val="008D4698"/>
    <w:rsid w:val="008F48D2"/>
    <w:rsid w:val="00906695"/>
    <w:rsid w:val="00907BE3"/>
    <w:rsid w:val="00914FC6"/>
    <w:rsid w:val="009153FC"/>
    <w:rsid w:val="00917F3B"/>
    <w:rsid w:val="00930903"/>
    <w:rsid w:val="009316DB"/>
    <w:rsid w:val="00932B57"/>
    <w:rsid w:val="00934CA1"/>
    <w:rsid w:val="00944C50"/>
    <w:rsid w:val="009500F5"/>
    <w:rsid w:val="009663A1"/>
    <w:rsid w:val="00970FFC"/>
    <w:rsid w:val="0097753C"/>
    <w:rsid w:val="009840FA"/>
    <w:rsid w:val="00991DC1"/>
    <w:rsid w:val="009D5E4E"/>
    <w:rsid w:val="009E5BDC"/>
    <w:rsid w:val="009F07A0"/>
    <w:rsid w:val="009F6583"/>
    <w:rsid w:val="00A0235C"/>
    <w:rsid w:val="00A12C3A"/>
    <w:rsid w:val="00A177A9"/>
    <w:rsid w:val="00A33494"/>
    <w:rsid w:val="00A368D0"/>
    <w:rsid w:val="00A403D2"/>
    <w:rsid w:val="00A431CC"/>
    <w:rsid w:val="00A51CCF"/>
    <w:rsid w:val="00A84281"/>
    <w:rsid w:val="00A95492"/>
    <w:rsid w:val="00AA7427"/>
    <w:rsid w:val="00AE46D8"/>
    <w:rsid w:val="00AE5A3E"/>
    <w:rsid w:val="00AE6A0D"/>
    <w:rsid w:val="00B139C3"/>
    <w:rsid w:val="00B1671B"/>
    <w:rsid w:val="00B20566"/>
    <w:rsid w:val="00B21545"/>
    <w:rsid w:val="00B52B2E"/>
    <w:rsid w:val="00B558DD"/>
    <w:rsid w:val="00B76377"/>
    <w:rsid w:val="00B7726A"/>
    <w:rsid w:val="00B875BD"/>
    <w:rsid w:val="00B9593C"/>
    <w:rsid w:val="00BD346B"/>
    <w:rsid w:val="00BE4A76"/>
    <w:rsid w:val="00C01E9B"/>
    <w:rsid w:val="00C217FC"/>
    <w:rsid w:val="00C31CE8"/>
    <w:rsid w:val="00C37901"/>
    <w:rsid w:val="00C46E8C"/>
    <w:rsid w:val="00C74DE6"/>
    <w:rsid w:val="00C75EF8"/>
    <w:rsid w:val="00C820C1"/>
    <w:rsid w:val="00C83DC4"/>
    <w:rsid w:val="00C936B5"/>
    <w:rsid w:val="00CA646E"/>
    <w:rsid w:val="00CB1CDF"/>
    <w:rsid w:val="00CD4EFC"/>
    <w:rsid w:val="00CD62C4"/>
    <w:rsid w:val="00CE522F"/>
    <w:rsid w:val="00CE714B"/>
    <w:rsid w:val="00CF5317"/>
    <w:rsid w:val="00D016AA"/>
    <w:rsid w:val="00D04A86"/>
    <w:rsid w:val="00D20438"/>
    <w:rsid w:val="00D572F4"/>
    <w:rsid w:val="00D64D76"/>
    <w:rsid w:val="00D65FFA"/>
    <w:rsid w:val="00D85580"/>
    <w:rsid w:val="00D92C51"/>
    <w:rsid w:val="00DA2F6C"/>
    <w:rsid w:val="00DC0489"/>
    <w:rsid w:val="00DC6864"/>
    <w:rsid w:val="00DF73A8"/>
    <w:rsid w:val="00E022BA"/>
    <w:rsid w:val="00E13A60"/>
    <w:rsid w:val="00E52DFE"/>
    <w:rsid w:val="00E537B7"/>
    <w:rsid w:val="00E6693C"/>
    <w:rsid w:val="00E70EAE"/>
    <w:rsid w:val="00E71C1F"/>
    <w:rsid w:val="00E777BB"/>
    <w:rsid w:val="00EA3304"/>
    <w:rsid w:val="00EA3C5B"/>
    <w:rsid w:val="00EB409F"/>
    <w:rsid w:val="00EC3684"/>
    <w:rsid w:val="00F0237C"/>
    <w:rsid w:val="00F07132"/>
    <w:rsid w:val="00F13D16"/>
    <w:rsid w:val="00F15408"/>
    <w:rsid w:val="00F247EC"/>
    <w:rsid w:val="00F4433F"/>
    <w:rsid w:val="00F71C1A"/>
    <w:rsid w:val="00F87911"/>
    <w:rsid w:val="00F94C6C"/>
    <w:rsid w:val="00FA2841"/>
    <w:rsid w:val="00FD4752"/>
    <w:rsid w:val="00FD6D66"/>
    <w:rsid w:val="00FE63F6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63A51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E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gPara">
    <w:name w:val="Reg Para"/>
    <w:basedOn w:val="Normal"/>
    <w:pPr>
      <w:tabs>
        <w:tab w:val="left" w:pos="1080"/>
      </w:tabs>
    </w:pPr>
    <w:rPr>
      <w:sz w:val="24"/>
    </w:rPr>
  </w:style>
  <w:style w:type="paragraph" w:styleId="BodyText">
    <w:name w:val="Body Text"/>
    <w:basedOn w:val="Normal"/>
    <w:rPr>
      <w:rFonts w:ascii="Arial" w:hAnsi="Arial"/>
      <w:b/>
      <w:sz w:val="12"/>
    </w:rPr>
  </w:style>
  <w:style w:type="paragraph" w:styleId="FootnoteText">
    <w:name w:val="footnote text"/>
    <w:basedOn w:val="Normal"/>
    <w:semiHidden/>
    <w:rsid w:val="00BE4A76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BE4A76"/>
    <w:rPr>
      <w:vertAlign w:val="superscript"/>
    </w:rPr>
  </w:style>
  <w:style w:type="character" w:styleId="Hyperlink">
    <w:name w:val="Hyperlink"/>
    <w:basedOn w:val="DefaultParagraphFont"/>
    <w:rsid w:val="00BE4A76"/>
    <w:rPr>
      <w:color w:val="0000FF"/>
      <w:u w:val="single"/>
    </w:rPr>
  </w:style>
  <w:style w:type="character" w:styleId="FollowedHyperlink">
    <w:name w:val="FollowedHyperlink"/>
    <w:basedOn w:val="DefaultParagraphFont"/>
    <w:rsid w:val="00BE4A76"/>
    <w:rPr>
      <w:color w:val="800080"/>
      <w:u w:val="single"/>
    </w:rPr>
  </w:style>
  <w:style w:type="table" w:styleId="TableGrid">
    <w:name w:val="Table Grid"/>
    <w:basedOn w:val="TableNormal"/>
    <w:rsid w:val="005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517658"/>
    <w:pPr>
      <w:spacing w:before="120" w:after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B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3F77"/>
    <w:rPr>
      <w:color w:val="808080"/>
    </w:rPr>
  </w:style>
  <w:style w:type="table" w:styleId="LightShading">
    <w:name w:val="Light Shading"/>
    <w:basedOn w:val="TableNormal"/>
    <w:uiPriority w:val="60"/>
    <w:rsid w:val="0090669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75EF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ddmd">
    <w:name w:val="addmd"/>
    <w:basedOn w:val="DefaultParagraphFont"/>
    <w:rsid w:val="00C75EF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E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gPara">
    <w:name w:val="Reg Para"/>
    <w:basedOn w:val="Normal"/>
    <w:pPr>
      <w:tabs>
        <w:tab w:val="left" w:pos="1080"/>
      </w:tabs>
    </w:pPr>
    <w:rPr>
      <w:sz w:val="24"/>
    </w:rPr>
  </w:style>
  <w:style w:type="paragraph" w:styleId="BodyText">
    <w:name w:val="Body Text"/>
    <w:basedOn w:val="Normal"/>
    <w:rPr>
      <w:rFonts w:ascii="Arial" w:hAnsi="Arial"/>
      <w:b/>
      <w:sz w:val="12"/>
    </w:rPr>
  </w:style>
  <w:style w:type="paragraph" w:styleId="FootnoteText">
    <w:name w:val="footnote text"/>
    <w:basedOn w:val="Normal"/>
    <w:semiHidden/>
    <w:rsid w:val="00BE4A76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BE4A76"/>
    <w:rPr>
      <w:vertAlign w:val="superscript"/>
    </w:rPr>
  </w:style>
  <w:style w:type="character" w:styleId="Hyperlink">
    <w:name w:val="Hyperlink"/>
    <w:basedOn w:val="DefaultParagraphFont"/>
    <w:rsid w:val="00BE4A76"/>
    <w:rPr>
      <w:color w:val="0000FF"/>
      <w:u w:val="single"/>
    </w:rPr>
  </w:style>
  <w:style w:type="character" w:styleId="FollowedHyperlink">
    <w:name w:val="FollowedHyperlink"/>
    <w:basedOn w:val="DefaultParagraphFont"/>
    <w:rsid w:val="00BE4A76"/>
    <w:rPr>
      <w:color w:val="800080"/>
      <w:u w:val="single"/>
    </w:rPr>
  </w:style>
  <w:style w:type="table" w:styleId="TableGrid">
    <w:name w:val="Table Grid"/>
    <w:basedOn w:val="TableNormal"/>
    <w:rsid w:val="00517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517658"/>
    <w:pPr>
      <w:spacing w:before="120" w:after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B6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3F77"/>
    <w:rPr>
      <w:color w:val="808080"/>
    </w:rPr>
  </w:style>
  <w:style w:type="table" w:styleId="LightShading">
    <w:name w:val="Light Shading"/>
    <w:basedOn w:val="TableNormal"/>
    <w:uiPriority w:val="60"/>
    <w:rsid w:val="0090669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75EF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ddmd">
    <w:name w:val="addmd"/>
    <w:basedOn w:val="DefaultParagraphFont"/>
    <w:rsid w:val="00C7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cc.ligo.org/LIGO-T1400285" TargetMode="External"/><Relationship Id="rId4" Type="http://schemas.openxmlformats.org/officeDocument/2006/relationships/hyperlink" Target="https://dcc.ligo.org/LIGO-T1400439" TargetMode="External"/><Relationship Id="rId5" Type="http://schemas.openxmlformats.org/officeDocument/2006/relationships/hyperlink" Target="https://dcc.ligo.org/LIGO-G1300116" TargetMode="External"/><Relationship Id="rId1" Type="http://schemas.openxmlformats.org/officeDocument/2006/relationships/hyperlink" Target="https://dcc.ligo.org/LIGO-T1301007" TargetMode="External"/><Relationship Id="rId2" Type="http://schemas.openxmlformats.org/officeDocument/2006/relationships/hyperlink" Target="https://dcc.ligo.org/LIGO-T140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D7F6F8-3671-2846-A002-D6FB7F61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744</Words>
  <Characters>4247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Appendix: Radiometric and photometric quantities</vt:lpstr>
    </vt:vector>
  </TitlesOfParts>
  <Company>CALTECH</Company>
  <LinksUpToDate>false</LinksUpToDate>
  <CharactersWithSpaces>4982</CharactersWithSpaces>
  <SharedDoc>false</SharedDoc>
  <HLinks>
    <vt:vector size="72" baseType="variant">
      <vt:variant>
        <vt:i4>721014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http://en.wikipedia.org/wiki/Photometry_(optics)</vt:lpwstr>
      </vt:variant>
      <vt:variant>
        <vt:lpwstr/>
      </vt:variant>
      <vt:variant>
        <vt:i4>5177410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http://en.wikipedia.org/wiki/Lumen_(unit)</vt:lpwstr>
      </vt:variant>
      <vt:variant>
        <vt:lpwstr/>
      </vt:variant>
      <vt:variant>
        <vt:i4>3997699</vt:i4>
      </vt:variant>
      <vt:variant>
        <vt:i4>12</vt:i4>
      </vt:variant>
      <vt:variant>
        <vt:i4>0</vt:i4>
      </vt:variant>
      <vt:variant>
        <vt:i4>5</vt:i4>
      </vt:variant>
      <vt:variant>
        <vt:lpwstr>https://dcc.ligo.org/cgi-bin/private/DocDB/ShowDocument?docid=735</vt:lpwstr>
      </vt:variant>
      <vt:variant>
        <vt:lpwstr/>
      </vt:variant>
      <vt:variant>
        <vt:i4>3276858</vt:i4>
      </vt:variant>
      <vt:variant>
        <vt:i4>6</vt:i4>
      </vt:variant>
      <vt:variant>
        <vt:i4>0</vt:i4>
      </vt:variant>
      <vt:variant>
        <vt:i4>5</vt:i4>
      </vt:variant>
      <vt:variant>
        <vt:lpwstr>https://dcc.ligo.org/cgi-bin/private/DocDB/ShowDocument?docid=5882</vt:lpwstr>
      </vt:variant>
      <vt:variant>
        <vt:lpwstr/>
      </vt:variant>
      <vt:variant>
        <vt:i4>7667759</vt:i4>
      </vt:variant>
      <vt:variant>
        <vt:i4>18</vt:i4>
      </vt:variant>
      <vt:variant>
        <vt:i4>0</vt:i4>
      </vt:variant>
      <vt:variant>
        <vt:i4>5</vt:i4>
      </vt:variant>
      <vt:variant>
        <vt:lpwstr>http://www.cie.co.at/index.php/index.php?i_ca_id=298</vt:lpwstr>
      </vt:variant>
      <vt:variant>
        <vt:lpwstr/>
      </vt:variant>
      <vt:variant>
        <vt:i4>4325418</vt:i4>
      </vt:variant>
      <vt:variant>
        <vt:i4>15</vt:i4>
      </vt:variant>
      <vt:variant>
        <vt:i4>0</vt:i4>
      </vt:variant>
      <vt:variant>
        <vt:i4>5</vt:i4>
      </vt:variant>
      <vt:variant>
        <vt:lpwstr>http://www.arri.de/fileadmin/media/arri.com/downloads/Lighting/Tungsten_Lampheads/ARRI_Fresnel/ARRI_Junior_650/ARRI_Junior_BRO_E.pdf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http://doug.kerr.home.att.net/pumpkin/SOS_REI.pdf</vt:lpwstr>
      </vt:variant>
      <vt:variant>
        <vt:lpwstr/>
      </vt:variant>
      <vt:variant>
        <vt:i4>4915276</vt:i4>
      </vt:variant>
      <vt:variant>
        <vt:i4>9</vt:i4>
      </vt:variant>
      <vt:variant>
        <vt:i4>0</vt:i4>
      </vt:variant>
      <vt:variant>
        <vt:i4>5</vt:i4>
      </vt:variant>
      <vt:variant>
        <vt:lpwstr>http://www.largeformatphotography.info/articles/conrad-meter-cal.pdf</vt:lpwstr>
      </vt:variant>
      <vt:variant>
        <vt:lpwstr/>
      </vt:variant>
      <vt:variant>
        <vt:i4>7209067</vt:i4>
      </vt:variant>
      <vt:variant>
        <vt:i4>6</vt:i4>
      </vt:variant>
      <vt:variant>
        <vt:i4>0</vt:i4>
      </vt:variant>
      <vt:variant>
        <vt:i4>5</vt:i4>
      </vt:variant>
      <vt:variant>
        <vt:lpwstr>http://www.uni-muenster.de/imperia/md/content/ziv/multimedia/downloads/kodak___noise_sources.pdf</vt:lpwstr>
      </vt:variant>
      <vt:variant>
        <vt:lpwstr/>
      </vt:variant>
      <vt:variant>
        <vt:i4>1179765</vt:i4>
      </vt:variant>
      <vt:variant>
        <vt:i4>3</vt:i4>
      </vt:variant>
      <vt:variant>
        <vt:i4>0</vt:i4>
      </vt:variant>
      <vt:variant>
        <vt:i4>5</vt:i4>
      </vt:variant>
      <vt:variant>
        <vt:lpwstr>http://www.kodak.com/global/plugins/acrobat/en/business/ISS/supportdocs/ISOMeasurements.pdf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https://dcc.ligo.org/cgi-bin/private/DocDB/ShowDocument?docid=7226</vt:lpwstr>
      </vt:variant>
      <vt:variant>
        <vt:lpwstr/>
      </vt:variant>
      <vt:variant>
        <vt:i4>5505037</vt:i4>
      </vt:variant>
      <vt:variant>
        <vt:i4>13470</vt:i4>
      </vt:variant>
      <vt:variant>
        <vt:i4>1026</vt:i4>
      </vt:variant>
      <vt:variant>
        <vt:i4>1</vt:i4>
      </vt:variant>
      <vt:variant>
        <vt:lpwstr>Ligo_Logo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TORRES, LIGO PROJECT</dc:creator>
  <cp:keywords/>
  <cp:lastModifiedBy>Michael Zucker</cp:lastModifiedBy>
  <cp:revision>11</cp:revision>
  <cp:lastPrinted>2014-10-19T00:02:00Z</cp:lastPrinted>
  <dcterms:created xsi:type="dcterms:W3CDTF">2014-10-19T00:02:00Z</dcterms:created>
  <dcterms:modified xsi:type="dcterms:W3CDTF">2014-11-18T21:26:00Z</dcterms:modified>
</cp:coreProperties>
</file>