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640E6CE3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 w:rsidR="001C333C">
        <w:t>1400479</w:t>
      </w:r>
      <w:r w:rsidR="00F5292B">
        <w:t>-v</w:t>
      </w:r>
      <w:r w:rsidR="003945DD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431B8">
        <w:tab/>
      </w:r>
      <w:r w:rsidR="001C333C">
        <w:t>December 22</w:t>
      </w:r>
      <w:bookmarkStart w:id="0" w:name="_GoBack"/>
      <w:bookmarkEnd w:id="0"/>
      <w:r w:rsidR="004431B8">
        <w:t>, 2014</w:t>
      </w:r>
    </w:p>
    <w:p w14:paraId="26D9D457" w14:textId="77777777" w:rsidR="005F48B2" w:rsidRDefault="009E710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021AB1F6" w:rsidR="005F48B2" w:rsidRDefault="000E0D4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9E7108">
        <w:rPr>
          <w:i/>
        </w:rPr>
        <w:t>In-Vacuum Optics Tables</w:t>
      </w:r>
      <w:r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9E710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53E90CC2" w:rsidR="005F48B2" w:rsidRDefault="000E0D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1F61B5D9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28A00F4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358897A9" w14:textId="77777777" w:rsidR="00AC70E4" w:rsidRDefault="006F01C4" w:rsidP="00453EE9">
      <w:r>
        <w:t>This acceptance package covers the in-</w:t>
      </w:r>
      <w:r w:rsidR="009E7108">
        <w:t>vacuum</w:t>
      </w:r>
      <w:r>
        <w:t xml:space="preserve"> ISC optics tables: </w:t>
      </w:r>
      <w:r w:rsidR="009E7108">
        <w:t>HAM1, HAM6, and the ETM Transmission Monitors.</w:t>
      </w:r>
      <w:r>
        <w:t xml:space="preserve"> </w:t>
      </w:r>
      <w:r w:rsidR="006A6642">
        <w:t xml:space="preserve">ISC components in HAM3 are also included. </w:t>
      </w:r>
    </w:p>
    <w:p w14:paraId="279BC48E" w14:textId="544A8451" w:rsidR="00453EE9" w:rsidRPr="00453EE9" w:rsidRDefault="00AC70E4" w:rsidP="00453EE9">
      <w:r>
        <w:t xml:space="preserve">Requirements: The transmission monitor design document, </w:t>
      </w:r>
      <w:hyperlink r:id="rId8" w:history="1">
        <w:r w:rsidRPr="00AC70E4">
          <w:rPr>
            <w:rStyle w:val="Hyperlink"/>
          </w:rPr>
          <w:t>LIGO-T0900385</w:t>
        </w:r>
      </w:hyperlink>
      <w:r>
        <w:t xml:space="preserve">, describes the function of the </w:t>
      </w:r>
      <w:proofErr w:type="spellStart"/>
      <w:r>
        <w:t>TransMon</w:t>
      </w:r>
      <w:proofErr w:type="spellEnd"/>
      <w:r>
        <w:t xml:space="preserve"> in the Introduction (section 1). There are also </w:t>
      </w:r>
      <w:proofErr w:type="spellStart"/>
      <w:r>
        <w:t>TransMon</w:t>
      </w:r>
      <w:proofErr w:type="spellEnd"/>
      <w:r>
        <w:t xml:space="preserve"> suspension requirements given in section 7. </w:t>
      </w:r>
      <w:r w:rsidR="006F01C4">
        <w:t xml:space="preserve">There are no </w:t>
      </w:r>
      <w:r>
        <w:t xml:space="preserve">requirements documents for the </w:t>
      </w:r>
      <w:r w:rsidR="009F6748">
        <w:t>HAM</w:t>
      </w:r>
      <w:r w:rsidR="006F01C4">
        <w:t xml:space="preserve"> tables.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7CA133DC" w14:textId="6AC681D2" w:rsidR="00453EE9" w:rsidRDefault="00453EE9" w:rsidP="00453EE9">
      <w:r>
        <w:t xml:space="preserve">Design documentation is in the </w:t>
      </w:r>
      <w:proofErr w:type="spellStart"/>
      <w:r>
        <w:t>aLIGO</w:t>
      </w:r>
      <w:proofErr w:type="spellEnd"/>
      <w:r>
        <w:t xml:space="preserve"> DCC tree, starting at:</w:t>
      </w:r>
    </w:p>
    <w:p w14:paraId="7DCE34A4" w14:textId="68C5B49F" w:rsidR="00453EE9" w:rsidRDefault="009E7108" w:rsidP="00453EE9">
      <w:hyperlink r:id="rId9" w:history="1">
        <w:r w:rsidR="00DB51F1">
          <w:rPr>
            <w:rStyle w:val="Hyperlink"/>
          </w:rPr>
          <w:t>LIGO-E1200198</w:t>
        </w:r>
      </w:hyperlink>
      <w:r w:rsidR="00453EE9">
        <w:t xml:space="preserve">: </w:t>
      </w:r>
      <w:proofErr w:type="spellStart"/>
      <w:r w:rsidR="00453EE9">
        <w:t>aLIGO</w:t>
      </w:r>
      <w:proofErr w:type="spellEnd"/>
      <w:r w:rsidR="00453EE9">
        <w:t xml:space="preserve">, ISC, </w:t>
      </w:r>
      <w:proofErr w:type="spellStart"/>
      <w:r w:rsidR="00DB51F1">
        <w:t>Opto</w:t>
      </w:r>
      <w:proofErr w:type="spellEnd"/>
      <w:r w:rsidR="00DB51F1">
        <w:t>-Mechanical Layouts</w:t>
      </w:r>
    </w:p>
    <w:p w14:paraId="03AF1607" w14:textId="07C5CF45" w:rsidR="00DB51F1" w:rsidRPr="00453EE9" w:rsidRDefault="00DB51F1" w:rsidP="00453EE9">
      <w:r>
        <w:t xml:space="preserve">This entry has links to </w:t>
      </w:r>
      <w:r w:rsidR="006A6642">
        <w:t>HAM1, HAM3, HAM</w:t>
      </w:r>
      <w:r>
        <w:t xml:space="preserve">6, </w:t>
      </w:r>
      <w:proofErr w:type="spellStart"/>
      <w:proofErr w:type="gramStart"/>
      <w:r w:rsidR="006A6642">
        <w:t>TransMon</w:t>
      </w:r>
      <w:proofErr w:type="spellEnd"/>
      <w:proofErr w:type="gramEnd"/>
      <w:r>
        <w:t>.</w:t>
      </w:r>
    </w:p>
    <w:p w14:paraId="6B741AB7" w14:textId="64A0816F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453EE9">
        <w:rPr>
          <w:rFonts w:cs="Helvetica"/>
          <w:i/>
          <w:szCs w:val="24"/>
        </w:rPr>
        <w:t>a) Final Design Document (FDD</w:t>
      </w:r>
      <w:r w:rsidR="00453EE9">
        <w:rPr>
          <w:rFonts w:cs="Helvetica"/>
          <w:i/>
          <w:szCs w:val="24"/>
        </w:rPr>
        <w:t>):</w:t>
      </w:r>
      <w:r w:rsidR="00DB51F1">
        <w:rPr>
          <w:rFonts w:cs="Helvetica"/>
          <w:i/>
          <w:szCs w:val="24"/>
        </w:rPr>
        <w:t xml:space="preserve"> </w:t>
      </w:r>
      <w:r w:rsidR="00C256D0">
        <w:rPr>
          <w:rFonts w:cs="Helvetica"/>
          <w:szCs w:val="24"/>
        </w:rPr>
        <w:t>The transmission monitor final design is in</w:t>
      </w:r>
      <w:r w:rsidR="00C256D0">
        <w:t xml:space="preserve"> </w:t>
      </w:r>
      <w:hyperlink r:id="rId10" w:history="1">
        <w:r w:rsidR="00C256D0" w:rsidRPr="00AC70E4">
          <w:rPr>
            <w:rStyle w:val="Hyperlink"/>
          </w:rPr>
          <w:t>LIGO-T0900385</w:t>
        </w:r>
      </w:hyperlink>
      <w:r w:rsidR="00C256D0">
        <w:t xml:space="preserve">. For the HAM tables, there are brief functional descriptions in the abstracts of their top-level DCC file cards. </w:t>
      </w:r>
      <w:r w:rsidR="00DB51F1">
        <w:rPr>
          <w:rFonts w:cs="Helvetica"/>
          <w:szCs w:val="24"/>
        </w:rPr>
        <w:t xml:space="preserve">Design documents are found in the DCC tree. </w:t>
      </w:r>
      <w:r w:rsidR="00226339">
        <w:rPr>
          <w:rFonts w:cs="Helvetica"/>
          <w:szCs w:val="24"/>
        </w:rPr>
        <w:t>For each table type, in addition to the main assembly drawing, there are file cards for additional information regarding the H1 and L1 as-</w:t>
      </w:r>
      <w:proofErr w:type="spellStart"/>
      <w:r w:rsidR="00226339">
        <w:rPr>
          <w:rFonts w:cs="Helvetica"/>
          <w:szCs w:val="24"/>
        </w:rPr>
        <w:t>builts</w:t>
      </w:r>
      <w:proofErr w:type="spellEnd"/>
      <w:r w:rsidR="00226339">
        <w:rPr>
          <w:rFonts w:cs="Helvetica"/>
          <w:szCs w:val="24"/>
        </w:rPr>
        <w:t xml:space="preserve">; e.g., </w:t>
      </w:r>
      <w:hyperlink r:id="rId11" w:history="1">
        <w:r w:rsidR="00226339" w:rsidRPr="00226339">
          <w:rPr>
            <w:rStyle w:val="Hyperlink"/>
            <w:rFonts w:cs="Helvetica"/>
            <w:szCs w:val="24"/>
          </w:rPr>
          <w:t>LIGO-E1200608</w:t>
        </w:r>
      </w:hyperlink>
      <w:r w:rsidR="00226339">
        <w:rPr>
          <w:rFonts w:cs="Helvetica"/>
          <w:szCs w:val="24"/>
        </w:rPr>
        <w:t xml:space="preserve"> for the L1 HAM1 as-built.</w:t>
      </w:r>
    </w:p>
    <w:p w14:paraId="6031C5BB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b) Review reports:</w:t>
      </w:r>
    </w:p>
    <w:p w14:paraId="33DF3B92" w14:textId="717893A4" w:rsidR="006139C6" w:rsidRDefault="006139C6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The </w:t>
      </w:r>
      <w:proofErr w:type="spellStart"/>
      <w:r>
        <w:rPr>
          <w:rFonts w:cs="Helvetica"/>
          <w:szCs w:val="24"/>
        </w:rPr>
        <w:t>TransMon</w:t>
      </w:r>
      <w:proofErr w:type="spellEnd"/>
      <w:r>
        <w:rPr>
          <w:rFonts w:cs="Helvetica"/>
          <w:szCs w:val="24"/>
        </w:rPr>
        <w:t xml:space="preserve"> design was reviewed as part of the main ISC FDR. FDR report is in </w:t>
      </w:r>
      <w:hyperlink r:id="rId12" w:history="1">
        <w:r w:rsidRPr="006139C6">
          <w:rPr>
            <w:rStyle w:val="Hyperlink"/>
            <w:rFonts w:cs="Helvetica"/>
            <w:szCs w:val="24"/>
          </w:rPr>
          <w:t>T1000334</w:t>
        </w:r>
      </w:hyperlink>
      <w:r>
        <w:rPr>
          <w:rFonts w:cs="Helvetica"/>
          <w:szCs w:val="24"/>
        </w:rPr>
        <w:t xml:space="preserve">; comments pertaining to the </w:t>
      </w:r>
      <w:proofErr w:type="spellStart"/>
      <w:r>
        <w:rPr>
          <w:rFonts w:cs="Helvetica"/>
          <w:szCs w:val="24"/>
        </w:rPr>
        <w:t>TransMon</w:t>
      </w:r>
      <w:proofErr w:type="spellEnd"/>
      <w:r>
        <w:rPr>
          <w:rFonts w:cs="Helvetica"/>
          <w:szCs w:val="24"/>
        </w:rPr>
        <w:t xml:space="preserve"> are on pages 15 &amp; 16. </w:t>
      </w:r>
      <w:r w:rsidR="000D68A9">
        <w:rPr>
          <w:rFonts w:cs="Helvetica"/>
          <w:szCs w:val="24"/>
        </w:rPr>
        <w:t>All comments were answered and/or incorporated; we believe there are no outstanding issues from the review.</w:t>
      </w:r>
    </w:p>
    <w:p w14:paraId="3669BED7" w14:textId="44B5D70E" w:rsidR="00A34ABF" w:rsidRPr="00E57040" w:rsidRDefault="00DB51F1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There was no review of the </w:t>
      </w:r>
      <w:r w:rsidR="006139C6">
        <w:rPr>
          <w:rFonts w:cs="Helvetica"/>
          <w:szCs w:val="24"/>
        </w:rPr>
        <w:t>HAM optics table layouts</w:t>
      </w:r>
      <w:r>
        <w:rPr>
          <w:rFonts w:cs="Helvetica"/>
          <w:szCs w:val="24"/>
        </w:rPr>
        <w:t>.</w:t>
      </w:r>
    </w:p>
    <w:p w14:paraId="37F7E9DD" w14:textId="16AF4F74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c) Supporting </w:t>
      </w:r>
      <w:proofErr w:type="gramStart"/>
      <w:r w:rsidRPr="00453EE9">
        <w:rPr>
          <w:rFonts w:cs="Helvetica"/>
          <w:i/>
          <w:szCs w:val="24"/>
        </w:rPr>
        <w:t>design</w:t>
      </w:r>
      <w:proofErr w:type="gramEnd"/>
      <w:r w:rsidRPr="00453EE9">
        <w:rPr>
          <w:rFonts w:cs="Helvetica"/>
          <w:i/>
          <w:szCs w:val="24"/>
        </w:rPr>
        <w:t xml:space="preserve"> documents: models, analyses, specifications, etc. </w:t>
      </w:r>
    </w:p>
    <w:p w14:paraId="5E87E370" w14:textId="49540BAC" w:rsidR="00E57040" w:rsidRPr="00E57040" w:rsidRDefault="00147B43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All in the DCC tree,</w:t>
      </w:r>
      <w:r w:rsidR="00DB51F1">
        <w:rPr>
          <w:rFonts w:cs="Helvetica"/>
          <w:szCs w:val="24"/>
        </w:rPr>
        <w:t xml:space="preserve"> see a) above</w:t>
      </w:r>
      <w:r>
        <w:rPr>
          <w:rFonts w:cs="Helvetica"/>
          <w:szCs w:val="24"/>
        </w:rPr>
        <w:t>.</w:t>
      </w:r>
    </w:p>
    <w:p w14:paraId="5DB0F874" w14:textId="50CA47C8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d) Drawings: cite the </w:t>
      </w:r>
      <w:proofErr w:type="gramStart"/>
      <w:r w:rsidRPr="00453EE9">
        <w:rPr>
          <w:rFonts w:cs="Helvetica"/>
          <w:i/>
          <w:szCs w:val="24"/>
        </w:rPr>
        <w:t>top level</w:t>
      </w:r>
      <w:proofErr w:type="gramEnd"/>
      <w:r w:rsidRPr="00453EE9">
        <w:rPr>
          <w:rFonts w:cs="Helvetica"/>
          <w:i/>
          <w:szCs w:val="24"/>
        </w:rPr>
        <w:t xml:space="preserve"> assembly drawing for ea</w:t>
      </w:r>
      <w:r w:rsidR="00E57040">
        <w:rPr>
          <w:rFonts w:cs="Helvetica"/>
          <w:i/>
          <w:szCs w:val="24"/>
        </w:rPr>
        <w:t>ch major assembly or subsystem.</w:t>
      </w:r>
    </w:p>
    <w:p w14:paraId="534BC45D" w14:textId="77777777" w:rsidR="004C0522" w:rsidRDefault="00C256D0" w:rsidP="00C256D0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>HAM1</w:t>
      </w:r>
      <w:r w:rsidR="004C0522">
        <w:rPr>
          <w:rFonts w:cs="Helvetica"/>
        </w:rPr>
        <w:t xml:space="preserve">: </w:t>
      </w:r>
      <w:hyperlink r:id="rId13" w:history="1">
        <w:r w:rsidR="004C0522" w:rsidRPr="004C0522">
          <w:rPr>
            <w:rStyle w:val="Hyperlink"/>
            <w:rFonts w:cs="Helvetica"/>
          </w:rPr>
          <w:t>LIGO-D1000313</w:t>
        </w:r>
      </w:hyperlink>
    </w:p>
    <w:p w14:paraId="172C76A9" w14:textId="77777777" w:rsidR="004C0522" w:rsidRDefault="004C0522" w:rsidP="00C256D0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 xml:space="preserve">HAM3: </w:t>
      </w:r>
      <w:hyperlink r:id="rId14" w:history="1">
        <w:r w:rsidRPr="004C0522">
          <w:rPr>
            <w:rStyle w:val="Hyperlink"/>
            <w:rFonts w:cs="Helvetica"/>
          </w:rPr>
          <w:t>LIGO-D1000339</w:t>
        </w:r>
      </w:hyperlink>
    </w:p>
    <w:p w14:paraId="10B07C33" w14:textId="77777777" w:rsidR="004C0522" w:rsidRDefault="004C0522" w:rsidP="00C256D0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 xml:space="preserve">HAM6: </w:t>
      </w:r>
      <w:hyperlink r:id="rId15" w:history="1">
        <w:r w:rsidRPr="004C0522">
          <w:rPr>
            <w:rStyle w:val="Hyperlink"/>
            <w:rFonts w:cs="Helvetica"/>
          </w:rPr>
          <w:t>LIGO-D1000342</w:t>
        </w:r>
      </w:hyperlink>
    </w:p>
    <w:p w14:paraId="6693D7CA" w14:textId="7C10FBD2" w:rsidR="00E57040" w:rsidRPr="00C256D0" w:rsidRDefault="004C0522" w:rsidP="00C256D0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proofErr w:type="spellStart"/>
      <w:r>
        <w:rPr>
          <w:rFonts w:cs="Helvetica"/>
        </w:rPr>
        <w:t>TransMon</w:t>
      </w:r>
      <w:proofErr w:type="spellEnd"/>
      <w:r>
        <w:rPr>
          <w:rFonts w:cs="Helvetica"/>
        </w:rPr>
        <w:t xml:space="preserve">: </w:t>
      </w:r>
      <w:hyperlink r:id="rId16" w:history="1">
        <w:r w:rsidRPr="004C0522">
          <w:rPr>
            <w:rStyle w:val="Hyperlink"/>
            <w:rFonts w:cs="Helvetica"/>
          </w:rPr>
          <w:t>LIGO-D1000484</w:t>
        </w:r>
      </w:hyperlink>
      <w:r w:rsidR="00DB51F1" w:rsidRPr="00C256D0">
        <w:rPr>
          <w:rFonts w:cs="Helvetica"/>
        </w:rPr>
        <w:t xml:space="preserve"> </w:t>
      </w:r>
    </w:p>
    <w:p w14:paraId="762BF241" w14:textId="6A612476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e) Bill(s) of Materials (BOM): cite any collected BOMs. If the BOMs are only to be found on the Assembly and Sub-Assembly drawing sheets, then state so.</w:t>
      </w:r>
    </w:p>
    <w:p w14:paraId="6032ACDD" w14:textId="4A984C51" w:rsidR="00E57040" w:rsidRPr="00E57040" w:rsidRDefault="00994925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Bills of materials are in the assembly drawings</w:t>
      </w:r>
      <w:r w:rsidR="001E0F3B">
        <w:rPr>
          <w:rFonts w:cs="Helvetica"/>
          <w:szCs w:val="24"/>
        </w:rPr>
        <w:t>.</w:t>
      </w:r>
    </w:p>
    <w:p w14:paraId="1C0C3EA3" w14:textId="2D16B9C5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f) Interface control: cite any documents (such as RODAs) with interface definition/control and/or cite the relevant sections of the DRD and FDD.</w:t>
      </w:r>
    </w:p>
    <w:p w14:paraId="19A4AC88" w14:textId="569BD8F6" w:rsidR="00E57040" w:rsidRPr="00E57040" w:rsidRDefault="006139C6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ICD between </w:t>
      </w:r>
      <w:proofErr w:type="spellStart"/>
      <w:r>
        <w:rPr>
          <w:rFonts w:cs="Helvetica"/>
          <w:szCs w:val="24"/>
        </w:rPr>
        <w:t>TransMon</w:t>
      </w:r>
      <w:proofErr w:type="spellEnd"/>
      <w:r>
        <w:rPr>
          <w:rFonts w:cs="Helvetica"/>
          <w:szCs w:val="24"/>
        </w:rPr>
        <w:t xml:space="preserve"> Suspension and ISC: </w:t>
      </w:r>
      <w:hyperlink r:id="rId17" w:history="1">
        <w:r w:rsidRPr="006139C6">
          <w:rPr>
            <w:rStyle w:val="Hyperlink"/>
            <w:rFonts w:cs="Helvetica"/>
            <w:szCs w:val="24"/>
          </w:rPr>
          <w:t>LIGO-E1000222</w:t>
        </w:r>
      </w:hyperlink>
      <w:r w:rsidR="00E57040">
        <w:rPr>
          <w:rFonts w:cs="Helvetica"/>
          <w:szCs w:val="24"/>
        </w:rPr>
        <w:t>.</w:t>
      </w:r>
    </w:p>
    <w:p w14:paraId="50A90DB7" w14:textId="2D095722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g) Software: cite any software design description documentation</w:t>
      </w:r>
      <w:r w:rsidR="00E57040">
        <w:rPr>
          <w:rFonts w:cs="Helvetica"/>
          <w:i/>
          <w:szCs w:val="24"/>
        </w:rPr>
        <w:t>.</w:t>
      </w:r>
    </w:p>
    <w:p w14:paraId="13C94FDC" w14:textId="641945F9" w:rsidR="00E57040" w:rsidRPr="00E57040" w:rsidRDefault="00D3471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 software.</w:t>
      </w:r>
    </w:p>
    <w:p w14:paraId="0080094A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lastRenderedPageBreak/>
        <w:t>h) Design source data:</w:t>
      </w:r>
    </w:p>
    <w:p w14:paraId="1C9691B8" w14:textId="5BE18F29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   - Confirm that all mechanical design CAD models are in the </w:t>
      </w:r>
      <w:proofErr w:type="spellStart"/>
      <w:r w:rsidRPr="00453EE9">
        <w:rPr>
          <w:rFonts w:cs="Helvetica"/>
          <w:i/>
          <w:szCs w:val="24"/>
        </w:rPr>
        <w:t>SolidWorks</w:t>
      </w:r>
      <w:proofErr w:type="spellEnd"/>
      <w:r w:rsidRPr="00453EE9">
        <w:rPr>
          <w:rFonts w:cs="Helvetica"/>
          <w:i/>
          <w:szCs w:val="24"/>
        </w:rPr>
        <w:t>/</w:t>
      </w:r>
      <w:proofErr w:type="spellStart"/>
      <w:r w:rsidRPr="00453EE9">
        <w:rPr>
          <w:rFonts w:cs="Helvetica"/>
          <w:i/>
          <w:szCs w:val="24"/>
        </w:rPr>
        <w:t>PDMWorks</w:t>
      </w:r>
      <w:proofErr w:type="spellEnd"/>
      <w:r w:rsidRPr="00453EE9">
        <w:rPr>
          <w:rFonts w:cs="Helvetica"/>
          <w:i/>
          <w:szCs w:val="24"/>
        </w:rPr>
        <w:t xml:space="preserve"> vault, or explain what is not and why.</w:t>
      </w:r>
    </w:p>
    <w:p w14:paraId="344D97BF" w14:textId="53AA672B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electronics design CAD models (schematics and PWB layouts) are backed up and available on LIGO Lab archives, or explain what is not and why.</w:t>
      </w:r>
    </w:p>
    <w:p w14:paraId="75CB97FD" w14:textId="28367CEB" w:rsidR="005F48B2" w:rsidRPr="003034E8" w:rsidRDefault="001F454E">
      <w:r>
        <w:t>Confirmed</w:t>
      </w:r>
      <w:r w:rsidR="003034E8">
        <w:t>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00B78EAB" w14:textId="0064B7B7" w:rsidR="007313B9" w:rsidRDefault="007313B9" w:rsidP="007313B9">
      <w:pPr>
        <w:rPr>
          <w:i/>
        </w:rPr>
      </w:pPr>
      <w:r w:rsidRPr="007313B9">
        <w:rPr>
          <w:i/>
        </w:rPr>
        <w:t>Any special materials, or treatment of materials including preparation for in-vacuum use; this may be integrated into the Design documentation.</w:t>
      </w:r>
    </w:p>
    <w:p w14:paraId="55255D31" w14:textId="16040925" w:rsidR="003034E8" w:rsidRPr="003034E8" w:rsidRDefault="006F2DE6" w:rsidP="007313B9">
      <w:pPr>
        <w:rPr>
          <w:b/>
          <w:color w:val="008000"/>
        </w:rPr>
      </w:pPr>
      <w:r>
        <w:t>No special materials</w:t>
      </w:r>
      <w:r w:rsidR="003034E8">
        <w:t>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</w:t>
      </w:r>
      <w:r w:rsidRPr="00C25CE2">
        <w:t xml:space="preserve">and </w:t>
      </w:r>
      <w:r w:rsidR="003D4D8F" w:rsidRPr="00C25CE2">
        <w:t>in-process</w:t>
      </w:r>
      <w:r w:rsidR="003D4D8F">
        <w:t xml:space="preserve"> </w:t>
      </w:r>
      <w:r>
        <w:t>spares inventoried</w:t>
      </w:r>
    </w:p>
    <w:p w14:paraId="2BDB20D6" w14:textId="01178AB1" w:rsidR="005F48B2" w:rsidRPr="00E826F4" w:rsidRDefault="001F454E">
      <w:r>
        <w:t>The in-vacuum tables are entered into ICS as Assembly records; e.g. ASSY-D1000313-H1 for the H1 HAM1 assembly</w:t>
      </w:r>
      <w:r w:rsidR="00D34710">
        <w:t xml:space="preserve">. 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3B2C52ED" w14:textId="2B6CC6E6" w:rsidR="007313B9" w:rsidRDefault="001F454E" w:rsidP="007313B9">
      <w:r>
        <w:t xml:space="preserve">HAM1: </w:t>
      </w:r>
      <w:hyperlink r:id="rId18" w:history="1">
        <w:r w:rsidR="004910CF" w:rsidRPr="004910CF">
          <w:rPr>
            <w:rStyle w:val="Hyperlink"/>
          </w:rPr>
          <w:t>LIGO-T1400727</w:t>
        </w:r>
      </w:hyperlink>
    </w:p>
    <w:p w14:paraId="20F49FC8" w14:textId="17E83AA9" w:rsidR="004910CF" w:rsidRDefault="004910CF" w:rsidP="007313B9">
      <w:r>
        <w:t xml:space="preserve">HAM3: </w:t>
      </w:r>
      <w:hyperlink r:id="rId19" w:history="1">
        <w:r w:rsidRPr="004910CF">
          <w:rPr>
            <w:rStyle w:val="Hyperlink"/>
          </w:rPr>
          <w:t>LIGO-T1400371</w:t>
        </w:r>
      </w:hyperlink>
    </w:p>
    <w:p w14:paraId="071736A2" w14:textId="779B6EBF" w:rsidR="004910CF" w:rsidRDefault="004910CF" w:rsidP="007313B9">
      <w:r>
        <w:t xml:space="preserve">HAM6: </w:t>
      </w:r>
      <w:hyperlink r:id="rId20" w:history="1">
        <w:r w:rsidRPr="004910CF">
          <w:rPr>
            <w:rStyle w:val="Hyperlink"/>
          </w:rPr>
          <w:t>LIGO-T1400588</w:t>
        </w:r>
      </w:hyperlink>
    </w:p>
    <w:p w14:paraId="5963F973" w14:textId="6B65988D" w:rsidR="006A411B" w:rsidRPr="003034E8" w:rsidRDefault="006A411B" w:rsidP="007313B9">
      <w:r>
        <w:t xml:space="preserve">For the </w:t>
      </w:r>
      <w:proofErr w:type="spellStart"/>
      <w:r>
        <w:t>TransMon</w:t>
      </w:r>
      <w:proofErr w:type="spellEnd"/>
      <w:r>
        <w:t xml:space="preserve">, the ISC components are mounted onto the optics breadboard following the assembly drawing, </w:t>
      </w:r>
      <w:proofErr w:type="gramStart"/>
      <w:r>
        <w:t>then</w:t>
      </w:r>
      <w:proofErr w:type="gramEnd"/>
      <w:r>
        <w:t xml:space="preserve"> the fine alignment procedure listed in the next section is followed.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46FA40BE" w:rsidR="007313B9" w:rsidRDefault="004910CF" w:rsidP="007313B9">
      <w:proofErr w:type="spellStart"/>
      <w:r>
        <w:t>TransMon</w:t>
      </w:r>
      <w:proofErr w:type="spellEnd"/>
      <w:r>
        <w:t xml:space="preserve"> alignment: </w:t>
      </w:r>
      <w:hyperlink r:id="rId21" w:history="1">
        <w:r w:rsidRPr="004910CF">
          <w:rPr>
            <w:rStyle w:val="Hyperlink"/>
          </w:rPr>
          <w:t>LIGO-E1200453</w:t>
        </w:r>
      </w:hyperlink>
    </w:p>
    <w:p w14:paraId="339A4904" w14:textId="40EFF898" w:rsidR="006A411B" w:rsidRPr="00E826F4" w:rsidRDefault="006A411B" w:rsidP="007313B9">
      <w:r>
        <w:t>For the HAMs, the documents listed in the previous section (Assembly) also include installation information.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4FC20215" w14:textId="26AD4023" w:rsidR="001E0F3B" w:rsidRPr="001E0F3B" w:rsidRDefault="00396CE8" w:rsidP="001E0F3B">
      <w:r>
        <w:t>Links to</w:t>
      </w:r>
      <w:r w:rsidR="004910CF">
        <w:t xml:space="preserve"> the tuning</w:t>
      </w:r>
      <w:r>
        <w:t xml:space="preserve"> results for</w:t>
      </w:r>
      <w:r w:rsidR="004910CF">
        <w:t xml:space="preserve"> the </w:t>
      </w:r>
      <w:proofErr w:type="spellStart"/>
      <w:r w:rsidR="004910CF">
        <w:t>TransMon</w:t>
      </w:r>
      <w:proofErr w:type="spellEnd"/>
      <w:r w:rsidR="004910CF">
        <w:t xml:space="preserve"> telescopes and QPD sleds are found in the as-built file cards; e.g. </w:t>
      </w:r>
      <w:hyperlink r:id="rId22" w:history="1">
        <w:r w:rsidR="004910CF" w:rsidRPr="004910CF">
          <w:rPr>
            <w:rStyle w:val="Hyperlink"/>
          </w:rPr>
          <w:t>LIGO-E1201006</w:t>
        </w:r>
      </w:hyperlink>
      <w:r>
        <w:t xml:space="preserve"> for the L1 EY </w:t>
      </w:r>
      <w:proofErr w:type="spellStart"/>
      <w:r>
        <w:t>TransMon</w:t>
      </w:r>
      <w:proofErr w:type="spellEnd"/>
      <w:r w:rsidR="004003C2">
        <w:t>.</w:t>
      </w:r>
    </w:p>
    <w:p w14:paraId="61E873EF" w14:textId="77777777" w:rsidR="00223FBC" w:rsidRDefault="00223FBC" w:rsidP="00223FBC">
      <w:pPr>
        <w:pStyle w:val="Heading1"/>
      </w:pPr>
      <w:r w:rsidRPr="00810FE9">
        <w:t>User interface software</w:t>
      </w:r>
    </w:p>
    <w:p w14:paraId="426F3090" w14:textId="61EE5726" w:rsidR="00E826F4" w:rsidRPr="00E826F4" w:rsidRDefault="00DF2458" w:rsidP="00E826F4">
      <w:r>
        <w:t>None.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76F241D0" w:rsidR="00223FBC" w:rsidRPr="00A62204" w:rsidRDefault="00DF2458" w:rsidP="00223FBC">
      <w:r>
        <w:t>None.</w:t>
      </w:r>
    </w:p>
    <w:p w14:paraId="0412AE3B" w14:textId="77777777" w:rsidR="00223FBC" w:rsidRDefault="00CB2AD5" w:rsidP="00223FBC">
      <w:pPr>
        <w:pStyle w:val="Heading1"/>
      </w:pPr>
      <w:r>
        <w:lastRenderedPageBreak/>
        <w:t xml:space="preserve"> </w:t>
      </w:r>
      <w:r w:rsidR="00223FBC" w:rsidRPr="00223FBC">
        <w:t>Safety</w:t>
      </w:r>
    </w:p>
    <w:p w14:paraId="5BB2C6D4" w14:textId="77777777" w:rsidR="00223FBC" w:rsidRDefault="00223FBC" w:rsidP="00223FBC">
      <w:pPr>
        <w:rPr>
          <w:i/>
        </w:rPr>
      </w:pPr>
      <w:r w:rsidRPr="00223FBC">
        <w:rPr>
          <w:i/>
        </w:rPr>
        <w:t xml:space="preserve">Safety documentation must be in the DCC for all phases of the subsystem development, including any needed for normal use or foreseen maintenance/repair scenarios. </w:t>
      </w:r>
    </w:p>
    <w:p w14:paraId="1B8D9A9F" w14:textId="58D13B7F" w:rsidR="00A62204" w:rsidRPr="00A62204" w:rsidRDefault="00D90287" w:rsidP="00223FBC">
      <w:r>
        <w:t>LIGO laser safety procedures apply when working with laser beams during installation and alignment of the ISC in-vacuum tables. The Notes field of the assembly/installation/alignment DCC file card for each table contains a reminder about laser safety protocol.</w:t>
      </w:r>
    </w:p>
    <w:p w14:paraId="74829219" w14:textId="77777777" w:rsidR="00223FBC" w:rsidRPr="00223FBC" w:rsidRDefault="00223FBC" w:rsidP="00223FBC"/>
    <w:p w14:paraId="502BB62D" w14:textId="77777777" w:rsidR="00223FBC" w:rsidRPr="00223FBC" w:rsidRDefault="00223FBC" w:rsidP="00223FBC"/>
    <w:sectPr w:rsidR="00223FBC" w:rsidRPr="00223FBC"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4910CF" w:rsidRDefault="004910CF">
      <w:r>
        <w:separator/>
      </w:r>
    </w:p>
  </w:endnote>
  <w:endnote w:type="continuationSeparator" w:id="0">
    <w:p w14:paraId="55821BDF" w14:textId="77777777" w:rsidR="004910CF" w:rsidRDefault="004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4910CF" w:rsidRDefault="00491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4910CF" w:rsidRDefault="004910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4910CF" w:rsidRDefault="004910C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7BF4A" w14:textId="77777777" w:rsidR="004910CF" w:rsidRDefault="004910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4910CF" w:rsidRDefault="004910CF">
      <w:r>
        <w:separator/>
      </w:r>
    </w:p>
  </w:footnote>
  <w:footnote w:type="continuationSeparator" w:id="0">
    <w:p w14:paraId="78784471" w14:textId="77777777" w:rsidR="004910CF" w:rsidRDefault="00491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65F119F2" w:rsidR="004910CF" w:rsidRDefault="004910CF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1C333C">
      <w:rPr>
        <w:sz w:val="20"/>
      </w:rPr>
      <w:tab/>
      <w:t>LIGO-E1400479</w:t>
    </w:r>
    <w:r>
      <w:rPr>
        <w:sz w:val="20"/>
      </w:rPr>
      <w:t>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4910CF" w:rsidRDefault="004910CF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54610576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EB55A2"/>
    <w:multiLevelType w:val="hybridMultilevel"/>
    <w:tmpl w:val="F60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83C614D"/>
    <w:multiLevelType w:val="hybridMultilevel"/>
    <w:tmpl w:val="47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0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D68A9"/>
    <w:rsid w:val="000E0D4A"/>
    <w:rsid w:val="00122A32"/>
    <w:rsid w:val="00147B43"/>
    <w:rsid w:val="001B3B66"/>
    <w:rsid w:val="001C333C"/>
    <w:rsid w:val="001E0F3B"/>
    <w:rsid w:val="001F454E"/>
    <w:rsid w:val="00223FBC"/>
    <w:rsid w:val="00226339"/>
    <w:rsid w:val="00255B4C"/>
    <w:rsid w:val="002616F4"/>
    <w:rsid w:val="003034E8"/>
    <w:rsid w:val="00361234"/>
    <w:rsid w:val="0036226E"/>
    <w:rsid w:val="003945DD"/>
    <w:rsid w:val="0039471B"/>
    <w:rsid w:val="00396CE8"/>
    <w:rsid w:val="003C5B43"/>
    <w:rsid w:val="003D4D8F"/>
    <w:rsid w:val="004003C2"/>
    <w:rsid w:val="00400A7A"/>
    <w:rsid w:val="004431B8"/>
    <w:rsid w:val="00453EE9"/>
    <w:rsid w:val="004910CF"/>
    <w:rsid w:val="004B1C32"/>
    <w:rsid w:val="004C0522"/>
    <w:rsid w:val="004D2405"/>
    <w:rsid w:val="0054334E"/>
    <w:rsid w:val="00563A05"/>
    <w:rsid w:val="005E0DCA"/>
    <w:rsid w:val="005E13FE"/>
    <w:rsid w:val="005F48B2"/>
    <w:rsid w:val="0060173C"/>
    <w:rsid w:val="006139C6"/>
    <w:rsid w:val="006A411B"/>
    <w:rsid w:val="006A6642"/>
    <w:rsid w:val="006B0293"/>
    <w:rsid w:val="006F01C4"/>
    <w:rsid w:val="006F2DE6"/>
    <w:rsid w:val="007313B9"/>
    <w:rsid w:val="00741B14"/>
    <w:rsid w:val="00776291"/>
    <w:rsid w:val="0078145B"/>
    <w:rsid w:val="00832753"/>
    <w:rsid w:val="00864E39"/>
    <w:rsid w:val="008857B1"/>
    <w:rsid w:val="008C3B72"/>
    <w:rsid w:val="008E7496"/>
    <w:rsid w:val="009022BF"/>
    <w:rsid w:val="00976A78"/>
    <w:rsid w:val="00994925"/>
    <w:rsid w:val="009B19DD"/>
    <w:rsid w:val="009D2C01"/>
    <w:rsid w:val="009E7108"/>
    <w:rsid w:val="009F6748"/>
    <w:rsid w:val="00A06C3A"/>
    <w:rsid w:val="00A34ABF"/>
    <w:rsid w:val="00A62204"/>
    <w:rsid w:val="00AC70E4"/>
    <w:rsid w:val="00BC37C2"/>
    <w:rsid w:val="00BF5E6A"/>
    <w:rsid w:val="00C256D0"/>
    <w:rsid w:val="00C25CE2"/>
    <w:rsid w:val="00CB2AD5"/>
    <w:rsid w:val="00CC3B9F"/>
    <w:rsid w:val="00D34710"/>
    <w:rsid w:val="00D90287"/>
    <w:rsid w:val="00DB51F1"/>
    <w:rsid w:val="00DF2458"/>
    <w:rsid w:val="00E2392E"/>
    <w:rsid w:val="00E271E7"/>
    <w:rsid w:val="00E57040"/>
    <w:rsid w:val="00E66298"/>
    <w:rsid w:val="00E826F4"/>
    <w:rsid w:val="00F5292B"/>
    <w:rsid w:val="00F65452"/>
    <w:rsid w:val="00F8058A"/>
    <w:rsid w:val="00FB3DA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E1200198" TargetMode="External"/><Relationship Id="rId20" Type="http://schemas.openxmlformats.org/officeDocument/2006/relationships/hyperlink" Target="https://dcc.ligo.org/LIGO-T1400588" TargetMode="External"/><Relationship Id="rId21" Type="http://schemas.openxmlformats.org/officeDocument/2006/relationships/hyperlink" Target="https://dcc.ligo.org/LIGO-E1200453" TargetMode="External"/><Relationship Id="rId22" Type="http://schemas.openxmlformats.org/officeDocument/2006/relationships/hyperlink" Target="https://dcc.ligo.org/LIGO-E1201006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dcc.ligo.org/LIGO-T0900385" TargetMode="External"/><Relationship Id="rId11" Type="http://schemas.openxmlformats.org/officeDocument/2006/relationships/hyperlink" Target="https://dcc.ligo.org/LIGO-E1200608" TargetMode="External"/><Relationship Id="rId12" Type="http://schemas.openxmlformats.org/officeDocument/2006/relationships/hyperlink" Target="https://dcc.ligo.org/DocDB/0012/T1000334/001/T1000334-v1.pdf" TargetMode="External"/><Relationship Id="rId13" Type="http://schemas.openxmlformats.org/officeDocument/2006/relationships/hyperlink" Target="https://dcc.ligo.org/LIGO-D1000313" TargetMode="External"/><Relationship Id="rId14" Type="http://schemas.openxmlformats.org/officeDocument/2006/relationships/hyperlink" Target="https://dcc.ligo.org/LIGO-D1000339" TargetMode="External"/><Relationship Id="rId15" Type="http://schemas.openxmlformats.org/officeDocument/2006/relationships/hyperlink" Target="https://dcc.ligo.org/LIGO-D1000342" TargetMode="External"/><Relationship Id="rId16" Type="http://schemas.openxmlformats.org/officeDocument/2006/relationships/hyperlink" Target="https://dcc.ligo.org/LIGO-D1000484" TargetMode="External"/><Relationship Id="rId17" Type="http://schemas.openxmlformats.org/officeDocument/2006/relationships/hyperlink" Target="https://dcc.ligo.org/LIGO-E1000222" TargetMode="External"/><Relationship Id="rId18" Type="http://schemas.openxmlformats.org/officeDocument/2006/relationships/hyperlink" Target="https://dcc.ligo.org/LIGO-T1400727" TargetMode="External"/><Relationship Id="rId19" Type="http://schemas.openxmlformats.org/officeDocument/2006/relationships/hyperlink" Target="https://dcc.ligo.org/LIGO-T140037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LIGO-T090038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780</Words>
  <Characters>4450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10</cp:revision>
  <cp:lastPrinted>2000-07-19T02:21:00Z</cp:lastPrinted>
  <dcterms:created xsi:type="dcterms:W3CDTF">2014-12-19T14:59:00Z</dcterms:created>
  <dcterms:modified xsi:type="dcterms:W3CDTF">2014-12-22T16:56:00Z</dcterms:modified>
</cp:coreProperties>
</file>