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690"/>
        <w:gridCol w:w="1440"/>
        <w:gridCol w:w="4770"/>
      </w:tblGrid>
      <w:tr w:rsidR="00524944" w:rsidRPr="00524944" w:rsidTr="00155BAE">
        <w:tblPrEx>
          <w:tblCellMar>
            <w:top w:w="0" w:type="dxa"/>
            <w:bottom w:w="0" w:type="dxa"/>
          </w:tblCellMar>
        </w:tblPrEx>
        <w:tc>
          <w:tcPr>
            <w:tcW w:w="3690" w:type="dxa"/>
            <w:tcBorders>
              <w:bottom w:val="single" w:sz="18" w:space="0" w:color="auto"/>
            </w:tcBorders>
          </w:tcPr>
          <w:p w:rsidR="00524944" w:rsidRPr="00524944" w:rsidRDefault="00155BAE" w:rsidP="00857D17">
            <w:pPr>
              <w:pStyle w:val="StyleArialNarrowLatinBoldCentered"/>
              <w:rPr>
                <w:rStyle w:val="StyleArialNarrowLatinBold"/>
                <w:b/>
                <w:bCs/>
              </w:rPr>
            </w:pPr>
            <w:r w:rsidRPr="00524944">
              <w:rPr>
                <w:rStyle w:val="StyleArialNarrowLatinBold"/>
                <w:b/>
                <w:bCs/>
              </w:rPr>
              <w:t>AUTHOR(S)</w:t>
            </w:r>
          </w:p>
        </w:tc>
        <w:tc>
          <w:tcPr>
            <w:tcW w:w="1440" w:type="dxa"/>
            <w:tcBorders>
              <w:bottom w:val="single" w:sz="18" w:space="0" w:color="auto"/>
              <w:right w:val="nil"/>
            </w:tcBorders>
          </w:tcPr>
          <w:p w:rsidR="00524944" w:rsidRPr="00524944" w:rsidRDefault="00524944">
            <w:pPr>
              <w:rPr>
                <w:rStyle w:val="StyleArialNarrowLatinBold"/>
                <w:bCs/>
              </w:rPr>
            </w:pPr>
            <w:r w:rsidRPr="00524944">
              <w:rPr>
                <w:rStyle w:val="StyleArialNarrowLatinBold"/>
                <w:bCs/>
              </w:rPr>
              <w:t>DATE</w:t>
            </w:r>
          </w:p>
        </w:tc>
        <w:tc>
          <w:tcPr>
            <w:tcW w:w="4770" w:type="dxa"/>
            <w:tcBorders>
              <w:bottom w:val="single" w:sz="18" w:space="0" w:color="auto"/>
              <w:right w:val="nil"/>
            </w:tcBorders>
          </w:tcPr>
          <w:p w:rsidR="00524944" w:rsidRPr="00524944" w:rsidRDefault="006F6727">
            <w:pPr>
              <w:rPr>
                <w:rStyle w:val="StyleArialNarrowLatinBold"/>
                <w:bCs/>
              </w:rPr>
            </w:pPr>
            <w:r w:rsidRPr="00524944">
              <w:rPr>
                <w:rStyle w:val="StyleArialNarrowLatinBold"/>
                <w:bCs/>
              </w:rPr>
              <w:t>D</w:t>
            </w:r>
            <w:r>
              <w:rPr>
                <w:rStyle w:val="StyleArialNarrowLatinBold"/>
                <w:bCs/>
              </w:rPr>
              <w:t>ocument Change Notice</w:t>
            </w:r>
            <w:r w:rsidR="00155BAE">
              <w:rPr>
                <w:rStyle w:val="StyleArialNarrowLatinBold"/>
                <w:bCs/>
              </w:rPr>
              <w:t>, Release or Approval</w:t>
            </w:r>
          </w:p>
        </w:tc>
      </w:tr>
      <w:tr w:rsidR="00524944" w:rsidRPr="00524944" w:rsidTr="00155BAE">
        <w:tblPrEx>
          <w:tblCellMar>
            <w:top w:w="0" w:type="dxa"/>
            <w:bottom w:w="0" w:type="dxa"/>
          </w:tblCellMar>
        </w:tblPrEx>
        <w:tc>
          <w:tcPr>
            <w:tcW w:w="3690" w:type="dxa"/>
            <w:tcBorders>
              <w:top w:val="single" w:sz="18" w:space="0" w:color="auto"/>
              <w:bottom w:val="single" w:sz="18" w:space="0" w:color="auto"/>
            </w:tcBorders>
          </w:tcPr>
          <w:p w:rsidR="00524944" w:rsidRPr="00061365" w:rsidRDefault="00061365" w:rsidP="00472831">
            <w:pPr>
              <w:pStyle w:val="StyleFooterArialNarrowLatinBold"/>
              <w:tabs>
                <w:tab w:val="left" w:pos="1464"/>
              </w:tabs>
              <w:rPr>
                <w:rStyle w:val="StyleArialNarrowLatinBold"/>
                <w:bCs/>
              </w:rPr>
            </w:pPr>
            <w:r w:rsidRPr="00061365">
              <w:rPr>
                <w:rStyle w:val="StyleArialNarrowLatinBold"/>
                <w:bCs/>
              </w:rPr>
              <w:t>Dennis Coyne</w:t>
            </w:r>
          </w:p>
        </w:tc>
        <w:tc>
          <w:tcPr>
            <w:tcW w:w="1440" w:type="dxa"/>
            <w:tcBorders>
              <w:top w:val="single" w:sz="18" w:space="0" w:color="auto"/>
              <w:bottom w:val="single" w:sz="18" w:space="0" w:color="auto"/>
              <w:right w:val="nil"/>
            </w:tcBorders>
          </w:tcPr>
          <w:p w:rsidR="00524944" w:rsidRPr="00472831" w:rsidRDefault="00061365">
            <w:pPr>
              <w:rPr>
                <w:rStyle w:val="StyleArialNarrowLatinBold"/>
                <w:b w:val="0"/>
              </w:rPr>
            </w:pPr>
            <w:r>
              <w:rPr>
                <w:rStyle w:val="StyleArialNarrowLatinBold"/>
                <w:b w:val="0"/>
              </w:rPr>
              <w:t>4 Feb 2015</w:t>
            </w:r>
          </w:p>
        </w:tc>
        <w:tc>
          <w:tcPr>
            <w:tcW w:w="4770" w:type="dxa"/>
            <w:tcBorders>
              <w:top w:val="single" w:sz="18" w:space="0" w:color="auto"/>
              <w:bottom w:val="single" w:sz="18" w:space="0" w:color="auto"/>
              <w:right w:val="nil"/>
            </w:tcBorders>
          </w:tcPr>
          <w:p w:rsidR="00524944" w:rsidRPr="00472831" w:rsidRDefault="00155BAE">
            <w:pPr>
              <w:rPr>
                <w:rStyle w:val="StyleArialNarrowLatinBold"/>
                <w:b w:val="0"/>
              </w:rPr>
            </w:pPr>
            <w:r>
              <w:rPr>
                <w:rStyle w:val="StyleArialNarrowLatinBold"/>
                <w:b w:val="0"/>
              </w:rPr>
              <w:t xml:space="preserve">see LIGO DCC record </w:t>
            </w:r>
            <w:r w:rsidR="006F6727">
              <w:rPr>
                <w:rStyle w:val="StyleArialNarrowLatinBold"/>
                <w:b w:val="0"/>
              </w:rPr>
              <w:t>Status</w:t>
            </w:r>
          </w:p>
        </w:tc>
      </w:tr>
    </w:tbl>
    <w:p w:rsidR="006409D7" w:rsidRDefault="006409D7" w:rsidP="006409D7">
      <w:pPr>
        <w:pStyle w:val="Heading1"/>
      </w:pPr>
      <w:r>
        <w:t>Purpose</w:t>
      </w:r>
    </w:p>
    <w:p w:rsidR="006409D7" w:rsidRDefault="006409D7" w:rsidP="00E476BC">
      <w:pPr>
        <w:pStyle w:val="BodyText"/>
        <w:spacing w:after="0"/>
      </w:pPr>
      <w:r>
        <w:t xml:space="preserve">The purpose of this document is to provide </w:t>
      </w:r>
      <w:r w:rsidR="00E476BC">
        <w:t>operators, trouble-shooters and commissioners</w:t>
      </w:r>
      <w:r w:rsidR="00E476BC">
        <w:t xml:space="preserve"> </w:t>
      </w:r>
      <w:r>
        <w:t xml:space="preserve">general guidance and links to </w:t>
      </w:r>
      <w:r w:rsidR="00E476BC">
        <w:t>procedures/</w:t>
      </w:r>
      <w:r>
        <w:t>protocols for how to properly and safely operate and diagnose LIGO equipment, such as (but not limited to)</w:t>
      </w:r>
      <w:bookmarkStart w:id="0" w:name="_GoBack"/>
      <w:bookmarkEnd w:id="0"/>
      <w:r>
        <w:t xml:space="preserve"> the following:</w:t>
      </w:r>
    </w:p>
    <w:p w:rsidR="00061365" w:rsidRDefault="006409D7" w:rsidP="00E476BC">
      <w:pPr>
        <w:pStyle w:val="BodyText"/>
        <w:numPr>
          <w:ilvl w:val="0"/>
          <w:numId w:val="36"/>
        </w:numPr>
        <w:spacing w:after="0"/>
      </w:pPr>
      <w:r>
        <w:t xml:space="preserve">remove and replace </w:t>
      </w:r>
      <w:r w:rsidR="00061365">
        <w:t>electronics safely</w:t>
      </w:r>
    </w:p>
    <w:p w:rsidR="00061365" w:rsidRDefault="00061365" w:rsidP="00E476BC">
      <w:pPr>
        <w:pStyle w:val="BodyText"/>
        <w:numPr>
          <w:ilvl w:val="0"/>
          <w:numId w:val="36"/>
        </w:numPr>
        <w:spacing w:after="0"/>
      </w:pPr>
      <w:r>
        <w:t>remove and replace a</w:t>
      </w:r>
      <w:r w:rsidR="006409D7">
        <w:t>n electrical</w:t>
      </w:r>
      <w:r>
        <w:t xml:space="preserve"> cable safely</w:t>
      </w:r>
    </w:p>
    <w:p w:rsidR="00061365" w:rsidRDefault="006409D7" w:rsidP="00E476BC">
      <w:pPr>
        <w:pStyle w:val="BodyText"/>
        <w:numPr>
          <w:ilvl w:val="0"/>
          <w:numId w:val="36"/>
        </w:numPr>
        <w:spacing w:after="0"/>
      </w:pPr>
      <w:r>
        <w:t>vent and pump down</w:t>
      </w:r>
    </w:p>
    <w:p w:rsidR="00061365" w:rsidRDefault="00061365" w:rsidP="00E476BC">
      <w:pPr>
        <w:pStyle w:val="BodyText"/>
        <w:numPr>
          <w:ilvl w:val="0"/>
          <w:numId w:val="36"/>
        </w:numPr>
        <w:spacing w:after="0"/>
      </w:pPr>
      <w:r>
        <w:t>p</w:t>
      </w:r>
      <w:r w:rsidR="006409D7">
        <w:t>roperly boot up the CDS system</w:t>
      </w:r>
    </w:p>
    <w:p w:rsidR="00061365" w:rsidRDefault="00061365" w:rsidP="00061365">
      <w:pPr>
        <w:pStyle w:val="Heading1"/>
      </w:pPr>
      <w:r>
        <w:t xml:space="preserve">General </w:t>
      </w:r>
      <w:r w:rsidR="00760B33">
        <w:t>References</w:t>
      </w:r>
    </w:p>
    <w:p w:rsidR="00061365" w:rsidRDefault="00E476BC" w:rsidP="00061365">
      <w:pPr>
        <w:pStyle w:val="BodyText"/>
      </w:pPr>
      <w:r w:rsidRPr="00E476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1pt;height:18.55pt;visibility:visible;mso-wrap-style:square">
            <v:imagedata r:id="rId8" o:title=""/>
          </v:shape>
        </w:pict>
      </w:r>
      <w:r w:rsidRPr="00E476BC">
        <w:t xml:space="preserve"> </w:t>
      </w:r>
      <w:r>
        <w:t>Operations Manuals (</w:t>
      </w:r>
      <w:r w:rsidR="00061365">
        <w:t>user’s manuals)</w:t>
      </w:r>
      <w:r w:rsidR="00760B33">
        <w:t>,</w:t>
      </w:r>
      <w:r w:rsidR="00061365">
        <w:t xml:space="preserve"> </w:t>
      </w:r>
      <w:r w:rsidR="00760B33">
        <w:t xml:space="preserve">which are written for specific LIGO equipment, </w:t>
      </w:r>
      <w:r w:rsidR="00061365">
        <w:t xml:space="preserve">take precedence over the following </w:t>
      </w:r>
      <w:r w:rsidR="006409D7">
        <w:t>g</w:t>
      </w:r>
      <w:r w:rsidR="00061365">
        <w:t>eneral guidance:</w:t>
      </w:r>
    </w:p>
    <w:p w:rsidR="00061365" w:rsidRDefault="00061365" w:rsidP="00061365">
      <w:pPr>
        <w:pStyle w:val="BodyText"/>
      </w:pPr>
      <w:hyperlink r:id="rId9" w:history="1">
        <w:r w:rsidRPr="00061365">
          <w:rPr>
            <w:rStyle w:val="Hyperlink"/>
            <w:bdr w:val="none" w:sz="0" w:space="0" w:color="auto"/>
          </w:rPr>
          <w:t>M1400128</w:t>
        </w:r>
      </w:hyperlink>
      <w:r>
        <w:t xml:space="preserve">, "LIGO Safety Guidelines for Working </w:t>
      </w:r>
      <w:proofErr w:type="gramStart"/>
      <w:r>
        <w:t>On</w:t>
      </w:r>
      <w:proofErr w:type="gramEnd"/>
      <w:r>
        <w:t xml:space="preserve"> Energized Equipment"</w:t>
      </w:r>
    </w:p>
    <w:p w:rsidR="00061365" w:rsidRDefault="00061365" w:rsidP="00061365">
      <w:pPr>
        <w:pStyle w:val="BodyText"/>
      </w:pPr>
      <w:hyperlink r:id="rId10" w:history="1">
        <w:r w:rsidRPr="00061365">
          <w:rPr>
            <w:rStyle w:val="Hyperlink"/>
            <w:bdr w:val="none" w:sz="0" w:space="0" w:color="auto"/>
          </w:rPr>
          <w:t>M1300464</w:t>
        </w:r>
      </w:hyperlink>
      <w:r>
        <w:t xml:space="preserve">, "Procedure for </w:t>
      </w:r>
      <w:proofErr w:type="gramStart"/>
      <w:r>
        <w:t>Preparing</w:t>
      </w:r>
      <w:proofErr w:type="gramEnd"/>
      <w:r>
        <w:t xml:space="preserve"> the </w:t>
      </w:r>
      <w:proofErr w:type="spellStart"/>
      <w:r>
        <w:t>aLIGO</w:t>
      </w:r>
      <w:proofErr w:type="spellEnd"/>
      <w:r>
        <w:t xml:space="preserve"> Interferometer for </w:t>
      </w:r>
      <w:proofErr w:type="spellStart"/>
      <w:r>
        <w:t>Pumpdown</w:t>
      </w:r>
      <w:proofErr w:type="spellEnd"/>
      <w:r>
        <w:t xml:space="preserve"> or</w:t>
      </w:r>
      <w:r>
        <w:t xml:space="preserve"> </w:t>
      </w:r>
      <w:r>
        <w:t>Vent, and Input Power Limits"</w:t>
      </w:r>
    </w:p>
    <w:p w:rsidR="00061365" w:rsidRDefault="00061365" w:rsidP="00061365">
      <w:pPr>
        <w:pStyle w:val="BodyText"/>
      </w:pPr>
      <w:hyperlink r:id="rId11" w:history="1">
        <w:r w:rsidRPr="00061365">
          <w:rPr>
            <w:rStyle w:val="Hyperlink"/>
            <w:bdr w:val="none" w:sz="0" w:space="0" w:color="auto"/>
          </w:rPr>
          <w:t>T1300359</w:t>
        </w:r>
      </w:hyperlink>
      <w:r>
        <w:t>, "How to Handle Small Optics"</w:t>
      </w:r>
    </w:p>
    <w:p w:rsidR="007F5607" w:rsidRDefault="007F5607" w:rsidP="00061365">
      <w:pPr>
        <w:pStyle w:val="BodyText"/>
      </w:pPr>
      <w:hyperlink r:id="rId12" w:history="1">
        <w:r w:rsidRPr="00CE15B9">
          <w:rPr>
            <w:rStyle w:val="Hyperlink"/>
            <w:bdr w:val="none" w:sz="0" w:space="0" w:color="auto"/>
          </w:rPr>
          <w:t>https://awiki.ligo-wa.caltech.edu/aLIGO/How%20To</w:t>
        </w:r>
      </w:hyperlink>
      <w:r>
        <w:t xml:space="preserve">: </w:t>
      </w:r>
      <w:r w:rsidRPr="007F5607">
        <w:t xml:space="preserve">how to properly boot up the </w:t>
      </w:r>
      <w:r>
        <w:t xml:space="preserve">CDS </w:t>
      </w:r>
      <w:r w:rsidRPr="007F5607">
        <w:t>system, and othe</w:t>
      </w:r>
      <w:r>
        <w:t>r guides for diagnostics</w:t>
      </w:r>
    </w:p>
    <w:p w:rsidR="00061365" w:rsidRDefault="00760B33" w:rsidP="00760B33">
      <w:pPr>
        <w:pStyle w:val="Heading1"/>
      </w:pPr>
      <w:r>
        <w:t>General Guidance</w:t>
      </w:r>
    </w:p>
    <w:p w:rsidR="006F4BA0" w:rsidRDefault="006F4BA0" w:rsidP="00760B33">
      <w:pPr>
        <w:pStyle w:val="Heading2"/>
      </w:pPr>
      <w:r>
        <w:t>Work Permit</w:t>
      </w:r>
      <w:r w:rsidR="00E476BC">
        <w:t>s Required</w:t>
      </w:r>
    </w:p>
    <w:p w:rsidR="006F4BA0" w:rsidRPr="006F4BA0" w:rsidRDefault="006F4BA0" w:rsidP="006F4BA0">
      <w:pPr>
        <w:pStyle w:val="BodyText"/>
      </w:pPr>
      <w:r>
        <w:t>A</w:t>
      </w:r>
      <w:r w:rsidRPr="006F4BA0">
        <w:t xml:space="preserve">ny work on installed </w:t>
      </w:r>
      <w:r w:rsidR="00E476BC">
        <w:t xml:space="preserve">observatory </w:t>
      </w:r>
      <w:r>
        <w:t>equipment, including</w:t>
      </w:r>
      <w:r w:rsidRPr="006F4BA0">
        <w:t xml:space="preserve"> electronics </w:t>
      </w:r>
      <w:r>
        <w:t>and software, requires an approved work permit.</w:t>
      </w:r>
    </w:p>
    <w:p w:rsidR="00E476BC" w:rsidRDefault="00E476BC" w:rsidP="00760B33">
      <w:pPr>
        <w:pStyle w:val="Heading2"/>
      </w:pPr>
      <w:r>
        <w:t>Engineering Change Requests Required</w:t>
      </w:r>
    </w:p>
    <w:p w:rsidR="00E476BC" w:rsidRPr="00E476BC" w:rsidRDefault="00E476BC" w:rsidP="00E476BC">
      <w:pPr>
        <w:pStyle w:val="BodyText"/>
      </w:pPr>
      <w:r>
        <w:t xml:space="preserve">Any changes to </w:t>
      </w:r>
      <w:r w:rsidRPr="006F4BA0">
        <w:t xml:space="preserve">installed </w:t>
      </w:r>
      <w:r>
        <w:t>observatory equipment, including</w:t>
      </w:r>
      <w:r w:rsidRPr="006F4BA0">
        <w:t xml:space="preserve"> electronics </w:t>
      </w:r>
      <w:r>
        <w:t>and software</w:t>
      </w:r>
      <w:r>
        <w:t xml:space="preserve"> (other than software ‘bug’ corrections)</w:t>
      </w:r>
      <w:r>
        <w:t xml:space="preserve">, requires an approved </w:t>
      </w:r>
      <w:r>
        <w:t>Engineering Change Request (ECR)</w:t>
      </w:r>
      <w:r>
        <w:t>.</w:t>
      </w:r>
    </w:p>
    <w:p w:rsidR="00A1356E" w:rsidRDefault="00A1356E" w:rsidP="00760B33">
      <w:pPr>
        <w:pStyle w:val="Heading2"/>
      </w:pPr>
      <w:r>
        <w:t>Report Discrepancies</w:t>
      </w:r>
    </w:p>
    <w:p w:rsidR="00A1356E" w:rsidRPr="00A1356E" w:rsidRDefault="00A1356E" w:rsidP="00A1356E">
      <w:pPr>
        <w:pStyle w:val="BodyText"/>
      </w:pPr>
      <w:r>
        <w:t>Any deviations or discrepancies from the intended (and documented) design should be reported to Systems Engineering so that either the physical system is changed to comply with the design, or the design record is updated to reflect the as-built. (We can’t fix what we don’t know.)</w:t>
      </w:r>
    </w:p>
    <w:p w:rsidR="00605127" w:rsidRDefault="00605127" w:rsidP="00760B33">
      <w:pPr>
        <w:pStyle w:val="Heading2"/>
      </w:pPr>
      <w:r>
        <w:lastRenderedPageBreak/>
        <w:t>Connecting and Disconnecting Cables</w:t>
      </w:r>
    </w:p>
    <w:p w:rsidR="00605127" w:rsidRDefault="00605127" w:rsidP="00605127">
      <w:pPr>
        <w:pStyle w:val="BodyText"/>
      </w:pPr>
      <w:r>
        <w:t>The connecting and/or disconnecting of cables should only be performed by knowledgeable and trained personnel</w:t>
      </w:r>
      <w:r w:rsidR="006F4BA0">
        <w:rPr>
          <w:rStyle w:val="FootnoteReference"/>
        </w:rPr>
        <w:footnoteReference w:id="1"/>
      </w:r>
      <w:r>
        <w:t>.</w:t>
      </w:r>
    </w:p>
    <w:p w:rsidR="00605127" w:rsidRPr="00605127" w:rsidRDefault="00605127" w:rsidP="00605127">
      <w:pPr>
        <w:pStyle w:val="BodyText"/>
      </w:pPr>
      <w:r>
        <w:t>Don't disconnect or connect any cables without first removing power from the related electronics</w:t>
      </w:r>
      <w:r w:rsidR="006F4BA0">
        <w:rPr>
          <w:rStyle w:val="FootnoteReference"/>
        </w:rPr>
        <w:footnoteReference w:id="2"/>
      </w:r>
      <w:r>
        <w:t xml:space="preserve">, unless otherwise instructed by the </w:t>
      </w:r>
      <w:r>
        <w:t>applicable electrical engineer.</w:t>
      </w:r>
    </w:p>
    <w:p w:rsidR="00760B33" w:rsidRDefault="00760B33" w:rsidP="00760B33">
      <w:pPr>
        <w:pStyle w:val="Heading2"/>
      </w:pPr>
      <w:r>
        <w:t>Don't hot swap electronics</w:t>
      </w:r>
    </w:p>
    <w:p w:rsidR="00061365" w:rsidRDefault="00061365" w:rsidP="00061365">
      <w:pPr>
        <w:pStyle w:val="BodyText"/>
      </w:pPr>
      <w:r>
        <w:t>Don't hot swap electronics</w:t>
      </w:r>
      <w:r w:rsidR="006F4BA0">
        <w:t xml:space="preserve"> (this includes cards in a chassis)</w:t>
      </w:r>
      <w:r>
        <w:t xml:space="preserve"> when the power can reasonably be turned off. If</w:t>
      </w:r>
      <w:r w:rsidR="00760B33">
        <w:t xml:space="preserve"> </w:t>
      </w:r>
      <w:r>
        <w:t>it is mandatory to hot swap, then you should consult the system experts</w:t>
      </w:r>
      <w:r w:rsidR="004577DB">
        <w:t xml:space="preserve"> </w:t>
      </w:r>
      <w:r>
        <w:t>(designer, cognizant engineer, etc.) prior to taking such a risk</w:t>
      </w:r>
      <w:r w:rsidR="00B42BDD">
        <w:rPr>
          <w:rStyle w:val="FootnoteReference"/>
        </w:rPr>
        <w:footnoteReference w:id="3"/>
      </w:r>
      <w:r>
        <w:t>.</w:t>
      </w:r>
    </w:p>
    <w:p w:rsidR="004577DB" w:rsidRDefault="004577DB" w:rsidP="004577DB">
      <w:pPr>
        <w:pStyle w:val="Heading2"/>
      </w:pPr>
      <w:r>
        <w:t>Caution regarding vacuum electrical feedthrough disconnection</w:t>
      </w:r>
    </w:p>
    <w:p w:rsidR="00061365" w:rsidRDefault="00061365" w:rsidP="00061365">
      <w:pPr>
        <w:pStyle w:val="BodyText"/>
      </w:pPr>
      <w:r>
        <w:t>Be aware that the majority of our 25 pin vacuum feedthrough connectors are</w:t>
      </w:r>
      <w:r w:rsidR="004577DB">
        <w:t xml:space="preserve"> not labeled. </w:t>
      </w:r>
      <w:r>
        <w:t>If you need to re-connect cables to a vacuum feedthrough, great</w:t>
      </w:r>
      <w:r w:rsidR="004577DB">
        <w:t xml:space="preserve"> </w:t>
      </w:r>
      <w:r>
        <w:t>care must be taken to ensure you don't plug things in wrong or it's quite</w:t>
      </w:r>
      <w:r w:rsidR="004577DB">
        <w:t xml:space="preserve"> </w:t>
      </w:r>
      <w:r>
        <w:t>possible that you will damage in-vacuum devices.</w:t>
      </w:r>
      <w:r w:rsidR="004577DB">
        <w:t xml:space="preserve"> Label the connectors</w:t>
      </w:r>
      <w:r w:rsidR="007F5607">
        <w:t xml:space="preserve"> prior to disconnection.</w:t>
      </w:r>
    </w:p>
    <w:p w:rsidR="007F5607" w:rsidRDefault="00B42BDD" w:rsidP="00B42BDD">
      <w:pPr>
        <w:pStyle w:val="Heading2"/>
      </w:pPr>
      <w:r>
        <w:t>Seating Boards in Backplanes</w:t>
      </w:r>
    </w:p>
    <w:p w:rsidR="00B42BDD" w:rsidRDefault="00B42BDD" w:rsidP="00B42BDD">
      <w:pPr>
        <w:pStyle w:val="BodyText"/>
      </w:pPr>
      <w:r>
        <w:t>Boards can sometimes be impr</w:t>
      </w:r>
      <w:r>
        <w:t xml:space="preserve">operly seated into backplanes. </w:t>
      </w:r>
      <w:r>
        <w:t>Because of the mechanical assistance afforded by the board guides and chassis construction, issues are mostly limited to two conditio</w:t>
      </w:r>
      <w:r>
        <w:t>ns</w:t>
      </w:r>
      <w:r>
        <w:t>:</w:t>
      </w:r>
    </w:p>
    <w:p w:rsidR="00B42BDD" w:rsidRDefault="00B42BDD" w:rsidP="00B42BDD">
      <w:pPr>
        <w:pStyle w:val="BodyText"/>
      </w:pPr>
      <w:r>
        <w:t>1) There is damage to the chassis or backplane or board</w:t>
      </w:r>
      <w:r>
        <w:t xml:space="preserve"> that causes improper seating. Conditions such as</w:t>
      </w:r>
      <w:r>
        <w:t xml:space="preserve"> bent or broken pins, loose board guides, damaged receptacles, etc. c</w:t>
      </w:r>
      <w:r>
        <w:t xml:space="preserve">an cause improper connections. </w:t>
      </w:r>
      <w:r>
        <w:t>The best practice is to inspect all of these areas before inserting the board.</w:t>
      </w:r>
    </w:p>
    <w:p w:rsidR="00B42BDD" w:rsidRDefault="00B42BDD" w:rsidP="00B42BDD">
      <w:pPr>
        <w:pStyle w:val="BodyText"/>
      </w:pPr>
      <w:r>
        <w:t>2) The board is insufficientl</w:t>
      </w:r>
      <w:r>
        <w:t xml:space="preserve">y inserted onto the backplane. </w:t>
      </w:r>
      <w:r>
        <w:t xml:space="preserve">Overcoming this is sometimes a "feel" thing that comes with experience, but other times </w:t>
      </w:r>
      <w:r>
        <w:t xml:space="preserve">a good solid push is in order. </w:t>
      </w:r>
      <w:r>
        <w:t xml:space="preserve">The final check before powering up should include a visual check that the new board appears to line up with the other boards, </w:t>
      </w:r>
      <w:r>
        <w:t xml:space="preserve">and </w:t>
      </w:r>
      <w:r>
        <w:t>that any included mounting screws are tightened appropriately, etc.</w:t>
      </w:r>
    </w:p>
    <w:p w:rsidR="00B42BDD" w:rsidRDefault="00B42BDD" w:rsidP="00B42BDD">
      <w:pPr>
        <w:pStyle w:val="Heading2"/>
      </w:pPr>
      <w:r>
        <w:t>Electro-Static Discharge</w:t>
      </w:r>
    </w:p>
    <w:p w:rsidR="00B42BDD" w:rsidRDefault="001968F3" w:rsidP="001968F3">
      <w:pPr>
        <w:pStyle w:val="BodyText"/>
      </w:pPr>
      <w:r>
        <w:t xml:space="preserve">Electro-Static Discharge (ESD) causes cumulative damage to electronics. Where provided, personnel should use </w:t>
      </w:r>
      <w:r>
        <w:t>ground</w:t>
      </w:r>
      <w:r>
        <w:t>ing</w:t>
      </w:r>
      <w:r>
        <w:t xml:space="preserve"> strap</w:t>
      </w:r>
      <w:r>
        <w:t>s and mats when working on electronics in racks or on benches in the electronics lab.</w:t>
      </w:r>
    </w:p>
    <w:p w:rsidR="00B42BDD" w:rsidRDefault="00B42BDD" w:rsidP="00B42BDD">
      <w:pPr>
        <w:pStyle w:val="Heading2"/>
      </w:pPr>
      <w:r>
        <w:t>Strain Relief</w:t>
      </w:r>
    </w:p>
    <w:p w:rsidR="00B42BDD" w:rsidRDefault="00B42BDD" w:rsidP="00B42BDD">
      <w:pPr>
        <w:pStyle w:val="BodyText"/>
      </w:pPr>
      <w:r>
        <w:t>All electrical connections should have proper strain relief by design; If not report this as an issue to Systems Engineering.</w:t>
      </w:r>
    </w:p>
    <w:p w:rsidR="00B42BDD" w:rsidRDefault="00B42BDD" w:rsidP="00B42BDD">
      <w:pPr>
        <w:pStyle w:val="BodyText"/>
      </w:pPr>
      <w:r>
        <w:t>Insure that all electrical co</w:t>
      </w:r>
      <w:r w:rsidR="00B75ECD">
        <w:t>nnections have their strain relief properly in place.</w:t>
      </w:r>
    </w:p>
    <w:p w:rsidR="00B42BDD" w:rsidRDefault="00B42BDD" w:rsidP="00B42BDD">
      <w:pPr>
        <w:pStyle w:val="Heading2"/>
      </w:pPr>
      <w:r>
        <w:lastRenderedPageBreak/>
        <w:t>Proper Grounding</w:t>
      </w:r>
    </w:p>
    <w:p w:rsidR="005D668C" w:rsidRDefault="005D668C" w:rsidP="00B42BDD">
      <w:pPr>
        <w:pStyle w:val="BodyText"/>
      </w:pPr>
      <w:r>
        <w:t>Care must be taken when temporary</w:t>
      </w:r>
      <w:r w:rsidR="00A1356E">
        <w:t xml:space="preserve"> or </w:t>
      </w:r>
      <w:proofErr w:type="spellStart"/>
      <w:r w:rsidR="00A1356E">
        <w:t>auxilliary</w:t>
      </w:r>
      <w:proofErr w:type="spellEnd"/>
      <w:r>
        <w:t xml:space="preserve"> instrumentation is attached to the interferometer systems, since </w:t>
      </w:r>
      <w:r w:rsidR="00B42BDD" w:rsidRPr="00B42BDD">
        <w:t xml:space="preserve">inadvertent grounding </w:t>
      </w:r>
      <w:r>
        <w:t xml:space="preserve">can cause ground loops and injection of noise from ‘dirty’ power sources. </w:t>
      </w:r>
      <w:r w:rsidR="00A1356E">
        <w:t>These temporary instrumentation configurations must be approved by a work permit and clearly marked as temporary.</w:t>
      </w:r>
    </w:p>
    <w:p w:rsidR="00B42BDD" w:rsidRDefault="00B42BDD" w:rsidP="00B42BDD">
      <w:pPr>
        <w:pStyle w:val="Heading2"/>
      </w:pPr>
      <w:r>
        <w:t>Overheating Racks or Modules</w:t>
      </w:r>
    </w:p>
    <w:p w:rsidR="00B42BDD" w:rsidRPr="00B42BDD" w:rsidRDefault="00B42BDD" w:rsidP="00B42BDD">
      <w:pPr>
        <w:pStyle w:val="BodyText"/>
      </w:pPr>
      <w:r>
        <w:t>Keep paper and other blockages out of the racks</w:t>
      </w:r>
      <w:r w:rsidR="005D668C">
        <w:t>. Any blockage or constriction of the airflow (forced or natural convection) can result in overheating of electronics modules, failures and reduced lifetimes.</w:t>
      </w:r>
    </w:p>
    <w:sectPr w:rsidR="00B42BDD" w:rsidRPr="00B42BDD" w:rsidSect="0067184F">
      <w:headerReference w:type="default" r:id="rId13"/>
      <w:footerReference w:type="default" r:id="rId14"/>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746" w:rsidRDefault="00606746">
      <w:r>
        <w:separator/>
      </w:r>
    </w:p>
  </w:endnote>
  <w:endnote w:type="continuationSeparator" w:id="0">
    <w:p w:rsidR="00606746" w:rsidRDefault="0060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A3" w:rsidRDefault="005B1442">
    <w:pPr>
      <w:pStyle w:val="Footer"/>
      <w:jc w:val="right"/>
      <w:rPr>
        <w:sz w:val="18"/>
      </w:rPr>
    </w:pPr>
    <w:r>
      <w:rPr>
        <w:sz w:val="18"/>
      </w:rPr>
      <w:t>LIGO Form F0900006-v2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746" w:rsidRDefault="00606746">
      <w:r>
        <w:separator/>
      </w:r>
    </w:p>
  </w:footnote>
  <w:footnote w:type="continuationSeparator" w:id="0">
    <w:p w:rsidR="00606746" w:rsidRDefault="00606746">
      <w:r>
        <w:continuationSeparator/>
      </w:r>
    </w:p>
  </w:footnote>
  <w:footnote w:id="1">
    <w:p w:rsidR="006F4BA0" w:rsidRDefault="006F4BA0">
      <w:pPr>
        <w:pStyle w:val="FootnoteText"/>
      </w:pPr>
      <w:r>
        <w:rPr>
          <w:rStyle w:val="FootnoteReference"/>
        </w:rPr>
        <w:footnoteRef/>
      </w:r>
      <w:r>
        <w:t xml:space="preserve"> </w:t>
      </w:r>
      <w:r w:rsidR="00E476BC">
        <w:t>As determined and qualified by Observatory management.</w:t>
      </w:r>
    </w:p>
  </w:footnote>
  <w:footnote w:id="2">
    <w:p w:rsidR="006F4BA0" w:rsidRDefault="006F4BA0">
      <w:pPr>
        <w:pStyle w:val="FootnoteText"/>
      </w:pPr>
      <w:r>
        <w:rPr>
          <w:rStyle w:val="FootnoteReference"/>
        </w:rPr>
        <w:footnoteRef/>
      </w:r>
      <w:r>
        <w:t xml:space="preserve"> </w:t>
      </w:r>
      <w:r w:rsidRPr="006F4BA0">
        <w:t>Energized cables of any appreciable length can give a voltage spike at insertion due to cable inductance and chassis capacitance that is many times the voltage on the cable, and this can sometimes damage chassis electronics.</w:t>
      </w:r>
    </w:p>
  </w:footnote>
  <w:footnote w:id="3">
    <w:p w:rsidR="00B42BDD" w:rsidRDefault="00B42BDD">
      <w:pPr>
        <w:pStyle w:val="FootnoteText"/>
      </w:pPr>
      <w:r>
        <w:rPr>
          <w:rStyle w:val="FootnoteReference"/>
        </w:rPr>
        <w:footnoteRef/>
      </w:r>
      <w:r>
        <w:t xml:space="preserve"> E</w:t>
      </w:r>
      <w:r w:rsidRPr="00B42BDD">
        <w:t xml:space="preserve">xperience </w:t>
      </w:r>
      <w:r>
        <w:t>indicates that</w:t>
      </w:r>
      <w:r w:rsidRPr="00B42BDD">
        <w:t xml:space="preserve"> while it can sometimes be done without harm, hot swapping boards and cards often increases the likelihood of a</w:t>
      </w:r>
      <w:r>
        <w:t xml:space="preserve"> failure and can lead to shortened lifetime.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1157"/>
      <w:gridCol w:w="629"/>
    </w:tblGrid>
    <w:tr w:rsidR="00AE79A3" w:rsidTr="00DF7DEE">
      <w:tblPrEx>
        <w:tblCellMar>
          <w:top w:w="0" w:type="dxa"/>
          <w:bottom w:w="0" w:type="dxa"/>
        </w:tblCellMar>
      </w:tblPrEx>
      <w:trPr>
        <w:cantSplit/>
        <w:trHeight w:val="350"/>
      </w:trPr>
      <w:tc>
        <w:tcPr>
          <w:tcW w:w="1618" w:type="dxa"/>
          <w:vMerge w:val="restart"/>
          <w:tcBorders>
            <w:top w:val="single" w:sz="12" w:space="0" w:color="C0C0C0"/>
            <w:left w:val="single" w:sz="12" w:space="0" w:color="C0C0C0"/>
          </w:tcBorders>
        </w:tcPr>
        <w:p w:rsidR="00AE79A3" w:rsidRDefault="00AE79A3">
          <w:pPr>
            <w:pStyle w:val="Header"/>
            <w:jc w:val="center"/>
            <w:rPr>
              <w:b/>
              <w:caps/>
              <w:sz w:val="18"/>
            </w:rPr>
          </w:pPr>
          <w:r>
            <w:rPr>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1;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84574466" r:id="rId2"/>
            </w:object>
          </w:r>
        </w:p>
      </w:tc>
      <w:tc>
        <w:tcPr>
          <w:tcW w:w="6482" w:type="dxa"/>
          <w:vMerge w:val="restart"/>
          <w:tcBorders>
            <w:top w:val="single" w:sz="12" w:space="0" w:color="C0C0C0"/>
            <w:bottom w:val="nil"/>
            <w:right w:val="nil"/>
          </w:tcBorders>
        </w:tcPr>
        <w:p w:rsidR="00AE79A3" w:rsidRDefault="00AE79A3" w:rsidP="00DF7DEE">
          <w:pPr>
            <w:pStyle w:val="Header"/>
            <w:jc w:val="left"/>
            <w:rPr>
              <w:b/>
              <w:caps/>
              <w:sz w:val="18"/>
            </w:rPr>
          </w:pPr>
          <w:r>
            <w:rPr>
              <w:b/>
              <w:caps/>
              <w:sz w:val="18"/>
            </w:rPr>
            <w:t>Laser Interferometer Gravitational Wave Observatory</w:t>
          </w:r>
        </w:p>
        <w:p w:rsidR="00AE79A3" w:rsidRDefault="00AE79A3">
          <w:pPr>
            <w:pStyle w:val="Header"/>
            <w:jc w:val="center"/>
            <w:rPr>
              <w:b/>
              <w:caps/>
              <w:sz w:val="20"/>
            </w:rPr>
          </w:pPr>
          <w:r>
            <w:rPr>
              <w:b/>
              <w:caps/>
              <w:sz w:val="32"/>
            </w:rPr>
            <w:t>SPECIFICATION</w:t>
          </w:r>
        </w:p>
      </w:tc>
      <w:tc>
        <w:tcPr>
          <w:tcW w:w="1157" w:type="dxa"/>
          <w:tcBorders>
            <w:top w:val="single" w:sz="12" w:space="0" w:color="C0C0C0"/>
            <w:left w:val="single" w:sz="12" w:space="0" w:color="C0C0C0"/>
            <w:bottom w:val="nil"/>
            <w:right w:val="nil"/>
          </w:tcBorders>
        </w:tcPr>
        <w:p w:rsidR="00AE79A3" w:rsidRPr="00D639FB" w:rsidRDefault="00A13752">
          <w:pPr>
            <w:pStyle w:val="Header"/>
            <w:jc w:val="right"/>
            <w:rPr>
              <w:sz w:val="20"/>
            </w:rPr>
          </w:pPr>
          <w:r>
            <w:rPr>
              <w:sz w:val="20"/>
            </w:rPr>
            <w:t>E1500048</w:t>
          </w:r>
        </w:p>
      </w:tc>
      <w:tc>
        <w:tcPr>
          <w:tcW w:w="629" w:type="dxa"/>
          <w:tcBorders>
            <w:top w:val="single" w:sz="12" w:space="0" w:color="C0C0C0"/>
            <w:left w:val="nil"/>
            <w:bottom w:val="nil"/>
            <w:right w:val="single" w:sz="12" w:space="0" w:color="C0C0C0"/>
          </w:tcBorders>
        </w:tcPr>
        <w:p w:rsidR="00AE79A3" w:rsidRDefault="00AE79A3" w:rsidP="004D0B06">
          <w:pPr>
            <w:pStyle w:val="Header"/>
            <w:jc w:val="center"/>
            <w:rPr>
              <w:caps/>
              <w:sz w:val="20"/>
            </w:rPr>
          </w:pPr>
          <w:r w:rsidRPr="0065472A">
            <w:rPr>
              <w:sz w:val="20"/>
            </w:rPr>
            <w:t>-v</w:t>
          </w:r>
          <w:r w:rsidR="00DF7DEE">
            <w:rPr>
              <w:sz w:val="20"/>
            </w:rPr>
            <w:t>1</w:t>
          </w:r>
          <w:r>
            <w:rPr>
              <w:caps/>
              <w:sz w:val="20"/>
            </w:rPr>
            <w:t>-</w:t>
          </w:r>
        </w:p>
      </w:tc>
    </w:tr>
    <w:tr w:rsidR="00AE79A3" w:rsidTr="00DF7DEE">
      <w:tblPrEx>
        <w:tblCellMar>
          <w:top w:w="0" w:type="dxa"/>
          <w:bottom w:w="0" w:type="dxa"/>
        </w:tblCellMar>
      </w:tblPrEx>
      <w:trPr>
        <w:cantSplit/>
        <w:trHeight w:val="349"/>
      </w:trPr>
      <w:tc>
        <w:tcPr>
          <w:tcW w:w="1618" w:type="dxa"/>
          <w:vMerge/>
          <w:tcBorders>
            <w:left w:val="single" w:sz="12" w:space="0" w:color="C0C0C0"/>
          </w:tcBorders>
        </w:tcPr>
        <w:p w:rsidR="00AE79A3" w:rsidRDefault="00AE79A3">
          <w:pPr>
            <w:pStyle w:val="Header"/>
            <w:jc w:val="center"/>
            <w:rPr>
              <w:noProof/>
              <w:sz w:val="20"/>
            </w:rPr>
          </w:pPr>
        </w:p>
      </w:tc>
      <w:tc>
        <w:tcPr>
          <w:tcW w:w="6482" w:type="dxa"/>
          <w:vMerge/>
          <w:tcBorders>
            <w:top w:val="nil"/>
            <w:bottom w:val="nil"/>
            <w:right w:val="nil"/>
          </w:tcBorders>
        </w:tcPr>
        <w:p w:rsidR="00AE79A3" w:rsidRDefault="00AE79A3">
          <w:pPr>
            <w:pStyle w:val="Header"/>
            <w:jc w:val="center"/>
            <w:rPr>
              <w:noProof/>
              <w:sz w:val="20"/>
            </w:rPr>
          </w:pPr>
        </w:p>
      </w:tc>
      <w:tc>
        <w:tcPr>
          <w:tcW w:w="1157" w:type="dxa"/>
          <w:tcBorders>
            <w:top w:val="nil"/>
            <w:left w:val="single" w:sz="12" w:space="0" w:color="C0C0C0"/>
            <w:bottom w:val="single" w:sz="12" w:space="0" w:color="C0C0C0"/>
            <w:right w:val="nil"/>
          </w:tcBorders>
        </w:tcPr>
        <w:p w:rsidR="00AE79A3" w:rsidRDefault="00AE79A3">
          <w:pPr>
            <w:pStyle w:val="Header"/>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rsidR="00AE79A3" w:rsidRDefault="00AE79A3">
          <w:pPr>
            <w:pStyle w:val="Header"/>
            <w:ind w:left="-72"/>
            <w:jc w:val="right"/>
            <w:rPr>
              <w:b/>
              <w:caps/>
            </w:rPr>
          </w:pPr>
          <w:r>
            <w:rPr>
              <w:rFonts w:ascii="Arial Narrow" w:hAnsi="Arial Narrow"/>
              <w:b/>
              <w:sz w:val="16"/>
            </w:rPr>
            <w:t>Rev.</w:t>
          </w:r>
        </w:p>
      </w:tc>
    </w:tr>
    <w:tr w:rsidR="00AE79A3" w:rsidTr="00DF7DEE">
      <w:tblPrEx>
        <w:tblCellMar>
          <w:top w:w="0" w:type="dxa"/>
          <w:bottom w:w="0" w:type="dxa"/>
        </w:tblCellMar>
      </w:tblPrEx>
      <w:trPr>
        <w:cantSplit/>
        <w:trHeight w:val="349"/>
      </w:trPr>
      <w:tc>
        <w:tcPr>
          <w:tcW w:w="1618" w:type="dxa"/>
          <w:vMerge/>
          <w:tcBorders>
            <w:left w:val="single" w:sz="12" w:space="0" w:color="C0C0C0"/>
            <w:bottom w:val="nil"/>
          </w:tcBorders>
        </w:tcPr>
        <w:p w:rsidR="00AE79A3" w:rsidRDefault="00AE79A3">
          <w:pPr>
            <w:pStyle w:val="Header"/>
            <w:jc w:val="center"/>
            <w:rPr>
              <w:noProof/>
              <w:sz w:val="20"/>
            </w:rPr>
          </w:pPr>
        </w:p>
      </w:tc>
      <w:tc>
        <w:tcPr>
          <w:tcW w:w="6482" w:type="dxa"/>
          <w:vMerge/>
          <w:tcBorders>
            <w:top w:val="nil"/>
            <w:bottom w:val="nil"/>
            <w:right w:val="nil"/>
          </w:tcBorders>
        </w:tcPr>
        <w:p w:rsidR="00AE79A3" w:rsidRDefault="00AE79A3">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rsidR="00AE79A3" w:rsidRDefault="00AE79A3">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1968F3">
            <w:rPr>
              <w:rStyle w:val="PageNumber"/>
              <w:noProof/>
            </w:rPr>
            <w:t>1</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1968F3">
            <w:rPr>
              <w:rStyle w:val="PageNumber"/>
              <w:noProof/>
            </w:rPr>
            <w:t>3</w:t>
          </w:r>
          <w:r>
            <w:rPr>
              <w:rStyle w:val="PageNumber"/>
            </w:rPr>
            <w:fldChar w:fldCharType="end"/>
          </w:r>
        </w:p>
      </w:tc>
    </w:tr>
    <w:tr w:rsidR="00AE79A3" w:rsidTr="00DF7DEE">
      <w:tblPrEx>
        <w:tblCellMar>
          <w:top w:w="0" w:type="dxa"/>
          <w:bottom w:w="0" w:type="dxa"/>
        </w:tblCellMar>
      </w:tblPrEx>
      <w:trPr>
        <w:cantSplit/>
        <w:trHeight w:val="600"/>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rsidR="00AE79A3" w:rsidRDefault="00061365">
          <w:pPr>
            <w:jc w:val="center"/>
            <w:rPr>
              <w:b/>
              <w:sz w:val="32"/>
            </w:rPr>
          </w:pPr>
          <w:r>
            <w:rPr>
              <w:b/>
              <w:sz w:val="32"/>
            </w:rPr>
            <w:t>Procedures, Safe-Guards and Cautions for</w:t>
          </w:r>
          <w:r>
            <w:rPr>
              <w:b/>
              <w:sz w:val="32"/>
            </w:rPr>
            <w:br/>
            <w:t>Safe and Proper Use, and Diagnosis, of LIGO E</w:t>
          </w:r>
          <w:r w:rsidRPr="00061365">
            <w:rPr>
              <w:b/>
              <w:sz w:val="32"/>
            </w:rPr>
            <w:t>quipment</w:t>
          </w:r>
        </w:p>
      </w:tc>
    </w:tr>
  </w:tbl>
  <w:p w:rsidR="00AE79A3" w:rsidRDefault="00AE79A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pStyle w:val="ListNumber3"/>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C535770"/>
    <w:multiLevelType w:val="hybridMultilevel"/>
    <w:tmpl w:val="77E0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1">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10"/>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0"/>
    <w:lvlOverride w:ilvl="0">
      <w:startOverride w:val="1"/>
    </w:lvlOverride>
  </w:num>
  <w:num w:numId="16">
    <w:abstractNumId w:val="2"/>
  </w:num>
  <w:num w:numId="17">
    <w:abstractNumId w:val="0"/>
  </w:num>
  <w:num w:numId="18">
    <w:abstractNumId w:val="11"/>
  </w:num>
  <w:num w:numId="19">
    <w:abstractNumId w:val="5"/>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10"/>
    <w:lvlOverride w:ilvl="0">
      <w:startOverride w:val="1"/>
    </w:lvlOverride>
  </w:num>
  <w:num w:numId="25">
    <w:abstractNumId w:val="4"/>
  </w:num>
  <w:num w:numId="26">
    <w:abstractNumId w:val="10"/>
  </w:num>
  <w:num w:numId="27">
    <w:abstractNumId w:val="14"/>
  </w:num>
  <w:num w:numId="28">
    <w:abstractNumId w:val="7"/>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042"/>
    <w:rsid w:val="000014DA"/>
    <w:rsid w:val="000450B9"/>
    <w:rsid w:val="000548E4"/>
    <w:rsid w:val="000556E6"/>
    <w:rsid w:val="00061365"/>
    <w:rsid w:val="00064DED"/>
    <w:rsid w:val="0007268A"/>
    <w:rsid w:val="00077AF8"/>
    <w:rsid w:val="00081841"/>
    <w:rsid w:val="000A0B4A"/>
    <w:rsid w:val="000B6873"/>
    <w:rsid w:val="000B72E7"/>
    <w:rsid w:val="000B7654"/>
    <w:rsid w:val="000D5DEB"/>
    <w:rsid w:val="000F6442"/>
    <w:rsid w:val="000F6CF9"/>
    <w:rsid w:val="0014642B"/>
    <w:rsid w:val="00155BAE"/>
    <w:rsid w:val="00166042"/>
    <w:rsid w:val="001968F3"/>
    <w:rsid w:val="001A22C6"/>
    <w:rsid w:val="001A43AF"/>
    <w:rsid w:val="001B28BF"/>
    <w:rsid w:val="001B6BB2"/>
    <w:rsid w:val="001D7449"/>
    <w:rsid w:val="001E53F0"/>
    <w:rsid w:val="001F2686"/>
    <w:rsid w:val="00207EAE"/>
    <w:rsid w:val="00217511"/>
    <w:rsid w:val="00235D2E"/>
    <w:rsid w:val="00245383"/>
    <w:rsid w:val="00250E58"/>
    <w:rsid w:val="00260E55"/>
    <w:rsid w:val="00262881"/>
    <w:rsid w:val="00263750"/>
    <w:rsid w:val="0029696F"/>
    <w:rsid w:val="002D5015"/>
    <w:rsid w:val="002E20FA"/>
    <w:rsid w:val="002F529F"/>
    <w:rsid w:val="002F5D43"/>
    <w:rsid w:val="00310D2E"/>
    <w:rsid w:val="003123EC"/>
    <w:rsid w:val="00314048"/>
    <w:rsid w:val="00340D46"/>
    <w:rsid w:val="0035367D"/>
    <w:rsid w:val="00362DDF"/>
    <w:rsid w:val="003827B2"/>
    <w:rsid w:val="00393F8A"/>
    <w:rsid w:val="003B28DC"/>
    <w:rsid w:val="003C2C3E"/>
    <w:rsid w:val="003C320B"/>
    <w:rsid w:val="003D72B6"/>
    <w:rsid w:val="003E1558"/>
    <w:rsid w:val="003E2B63"/>
    <w:rsid w:val="003E417B"/>
    <w:rsid w:val="003F443D"/>
    <w:rsid w:val="003F513B"/>
    <w:rsid w:val="003F51E1"/>
    <w:rsid w:val="003F7ACD"/>
    <w:rsid w:val="00444286"/>
    <w:rsid w:val="00446E2E"/>
    <w:rsid w:val="00452B75"/>
    <w:rsid w:val="004577DB"/>
    <w:rsid w:val="00462ACB"/>
    <w:rsid w:val="00472831"/>
    <w:rsid w:val="00481D39"/>
    <w:rsid w:val="00486F6A"/>
    <w:rsid w:val="00490C0A"/>
    <w:rsid w:val="00490DF2"/>
    <w:rsid w:val="004C43F9"/>
    <w:rsid w:val="004C6B77"/>
    <w:rsid w:val="004D0B06"/>
    <w:rsid w:val="004E6D01"/>
    <w:rsid w:val="004F044F"/>
    <w:rsid w:val="004F0777"/>
    <w:rsid w:val="005129C5"/>
    <w:rsid w:val="00524944"/>
    <w:rsid w:val="00525DF9"/>
    <w:rsid w:val="00526030"/>
    <w:rsid w:val="00545A3E"/>
    <w:rsid w:val="0058540C"/>
    <w:rsid w:val="00585D7F"/>
    <w:rsid w:val="0059040F"/>
    <w:rsid w:val="00590D06"/>
    <w:rsid w:val="005931E8"/>
    <w:rsid w:val="00595235"/>
    <w:rsid w:val="005A0B53"/>
    <w:rsid w:val="005B0F5D"/>
    <w:rsid w:val="005B1442"/>
    <w:rsid w:val="005B309E"/>
    <w:rsid w:val="005D07FD"/>
    <w:rsid w:val="005D248C"/>
    <w:rsid w:val="005D3472"/>
    <w:rsid w:val="005D668C"/>
    <w:rsid w:val="005E253D"/>
    <w:rsid w:val="005E2FF4"/>
    <w:rsid w:val="005F065F"/>
    <w:rsid w:val="005F57FB"/>
    <w:rsid w:val="00602701"/>
    <w:rsid w:val="00605127"/>
    <w:rsid w:val="00605798"/>
    <w:rsid w:val="00606746"/>
    <w:rsid w:val="006128E7"/>
    <w:rsid w:val="0061632B"/>
    <w:rsid w:val="006409D7"/>
    <w:rsid w:val="0065472A"/>
    <w:rsid w:val="00667A6C"/>
    <w:rsid w:val="0067184F"/>
    <w:rsid w:val="006802E5"/>
    <w:rsid w:val="00695E34"/>
    <w:rsid w:val="006B3E7B"/>
    <w:rsid w:val="006B5111"/>
    <w:rsid w:val="006B7053"/>
    <w:rsid w:val="006C140A"/>
    <w:rsid w:val="006C1DC5"/>
    <w:rsid w:val="006D1251"/>
    <w:rsid w:val="006D1C41"/>
    <w:rsid w:val="006D3E60"/>
    <w:rsid w:val="006E5228"/>
    <w:rsid w:val="006F3D59"/>
    <w:rsid w:val="006F4BA0"/>
    <w:rsid w:val="006F6727"/>
    <w:rsid w:val="007059F5"/>
    <w:rsid w:val="00730EA1"/>
    <w:rsid w:val="007337C7"/>
    <w:rsid w:val="00744738"/>
    <w:rsid w:val="007514C1"/>
    <w:rsid w:val="00754EE0"/>
    <w:rsid w:val="00757B0A"/>
    <w:rsid w:val="00760B33"/>
    <w:rsid w:val="00773CA9"/>
    <w:rsid w:val="007816E1"/>
    <w:rsid w:val="00782491"/>
    <w:rsid w:val="0078448B"/>
    <w:rsid w:val="007876E7"/>
    <w:rsid w:val="007978FA"/>
    <w:rsid w:val="007A18E3"/>
    <w:rsid w:val="007B4DFA"/>
    <w:rsid w:val="007C03AB"/>
    <w:rsid w:val="007C3E1A"/>
    <w:rsid w:val="007C4C60"/>
    <w:rsid w:val="007C724C"/>
    <w:rsid w:val="007D3F59"/>
    <w:rsid w:val="007F5607"/>
    <w:rsid w:val="007F6339"/>
    <w:rsid w:val="0080370A"/>
    <w:rsid w:val="00805CB4"/>
    <w:rsid w:val="008063CF"/>
    <w:rsid w:val="008110A3"/>
    <w:rsid w:val="00812F39"/>
    <w:rsid w:val="00821527"/>
    <w:rsid w:val="00857D17"/>
    <w:rsid w:val="0086113F"/>
    <w:rsid w:val="00861524"/>
    <w:rsid w:val="0088196E"/>
    <w:rsid w:val="00887C52"/>
    <w:rsid w:val="008A4983"/>
    <w:rsid w:val="008D60F3"/>
    <w:rsid w:val="008E7B83"/>
    <w:rsid w:val="00903912"/>
    <w:rsid w:val="0092072C"/>
    <w:rsid w:val="00922781"/>
    <w:rsid w:val="00931558"/>
    <w:rsid w:val="00934218"/>
    <w:rsid w:val="00935C8D"/>
    <w:rsid w:val="009518A8"/>
    <w:rsid w:val="009530A4"/>
    <w:rsid w:val="00954AD0"/>
    <w:rsid w:val="009749FB"/>
    <w:rsid w:val="0097623B"/>
    <w:rsid w:val="0098042C"/>
    <w:rsid w:val="00980E80"/>
    <w:rsid w:val="0098108A"/>
    <w:rsid w:val="00984AD3"/>
    <w:rsid w:val="00992EF8"/>
    <w:rsid w:val="00995285"/>
    <w:rsid w:val="009A63E4"/>
    <w:rsid w:val="009B6B0A"/>
    <w:rsid w:val="009C5FA3"/>
    <w:rsid w:val="009C78A6"/>
    <w:rsid w:val="009E1B6F"/>
    <w:rsid w:val="009F49E9"/>
    <w:rsid w:val="00A1356E"/>
    <w:rsid w:val="00A13752"/>
    <w:rsid w:val="00A14777"/>
    <w:rsid w:val="00A15613"/>
    <w:rsid w:val="00A158BE"/>
    <w:rsid w:val="00A179F2"/>
    <w:rsid w:val="00A2024D"/>
    <w:rsid w:val="00A31D33"/>
    <w:rsid w:val="00A34FBB"/>
    <w:rsid w:val="00A4245D"/>
    <w:rsid w:val="00A446DC"/>
    <w:rsid w:val="00A45C58"/>
    <w:rsid w:val="00A65D21"/>
    <w:rsid w:val="00A75202"/>
    <w:rsid w:val="00A76CEA"/>
    <w:rsid w:val="00A81B23"/>
    <w:rsid w:val="00A85C9C"/>
    <w:rsid w:val="00AA5E25"/>
    <w:rsid w:val="00AB2098"/>
    <w:rsid w:val="00AC0793"/>
    <w:rsid w:val="00AC4237"/>
    <w:rsid w:val="00AC766C"/>
    <w:rsid w:val="00AD58C7"/>
    <w:rsid w:val="00AE14DC"/>
    <w:rsid w:val="00AE79A3"/>
    <w:rsid w:val="00AF25C1"/>
    <w:rsid w:val="00AF4E15"/>
    <w:rsid w:val="00AF5C7A"/>
    <w:rsid w:val="00B00EC3"/>
    <w:rsid w:val="00B225D2"/>
    <w:rsid w:val="00B30165"/>
    <w:rsid w:val="00B30BB1"/>
    <w:rsid w:val="00B32DC0"/>
    <w:rsid w:val="00B41BB9"/>
    <w:rsid w:val="00B42BDD"/>
    <w:rsid w:val="00B4520E"/>
    <w:rsid w:val="00B461CD"/>
    <w:rsid w:val="00B4722D"/>
    <w:rsid w:val="00B52213"/>
    <w:rsid w:val="00B56816"/>
    <w:rsid w:val="00B62A3E"/>
    <w:rsid w:val="00B632E5"/>
    <w:rsid w:val="00B70FC2"/>
    <w:rsid w:val="00B75ECD"/>
    <w:rsid w:val="00B773A5"/>
    <w:rsid w:val="00B7762A"/>
    <w:rsid w:val="00B80071"/>
    <w:rsid w:val="00B81101"/>
    <w:rsid w:val="00B92BDC"/>
    <w:rsid w:val="00BC0B55"/>
    <w:rsid w:val="00BC553F"/>
    <w:rsid w:val="00BD228C"/>
    <w:rsid w:val="00BE01F8"/>
    <w:rsid w:val="00BE1988"/>
    <w:rsid w:val="00BF3247"/>
    <w:rsid w:val="00C05869"/>
    <w:rsid w:val="00C06ED2"/>
    <w:rsid w:val="00C41B39"/>
    <w:rsid w:val="00C62589"/>
    <w:rsid w:val="00C72555"/>
    <w:rsid w:val="00C77E51"/>
    <w:rsid w:val="00C87BC5"/>
    <w:rsid w:val="00C95EAA"/>
    <w:rsid w:val="00C95F1E"/>
    <w:rsid w:val="00CA1526"/>
    <w:rsid w:val="00CA3F9D"/>
    <w:rsid w:val="00CB0D50"/>
    <w:rsid w:val="00CB436B"/>
    <w:rsid w:val="00CB595B"/>
    <w:rsid w:val="00CB7620"/>
    <w:rsid w:val="00CC3365"/>
    <w:rsid w:val="00CC3A89"/>
    <w:rsid w:val="00CD1A12"/>
    <w:rsid w:val="00CD3D02"/>
    <w:rsid w:val="00CD72F0"/>
    <w:rsid w:val="00CE3712"/>
    <w:rsid w:val="00CE3B40"/>
    <w:rsid w:val="00CE3F05"/>
    <w:rsid w:val="00CE6312"/>
    <w:rsid w:val="00CF08F2"/>
    <w:rsid w:val="00D00A97"/>
    <w:rsid w:val="00D1066B"/>
    <w:rsid w:val="00D2404E"/>
    <w:rsid w:val="00D33DCA"/>
    <w:rsid w:val="00D503D0"/>
    <w:rsid w:val="00D639FB"/>
    <w:rsid w:val="00D64BFE"/>
    <w:rsid w:val="00D72459"/>
    <w:rsid w:val="00D73577"/>
    <w:rsid w:val="00D85692"/>
    <w:rsid w:val="00DB641E"/>
    <w:rsid w:val="00DC47CA"/>
    <w:rsid w:val="00DE2BD1"/>
    <w:rsid w:val="00DE60F2"/>
    <w:rsid w:val="00DF75F8"/>
    <w:rsid w:val="00DF7DEE"/>
    <w:rsid w:val="00E216DC"/>
    <w:rsid w:val="00E2229D"/>
    <w:rsid w:val="00E27B7F"/>
    <w:rsid w:val="00E476BC"/>
    <w:rsid w:val="00E64535"/>
    <w:rsid w:val="00E70211"/>
    <w:rsid w:val="00E715FF"/>
    <w:rsid w:val="00E841EC"/>
    <w:rsid w:val="00E91176"/>
    <w:rsid w:val="00EB2A03"/>
    <w:rsid w:val="00EC4C85"/>
    <w:rsid w:val="00EE65EC"/>
    <w:rsid w:val="00EF6F2F"/>
    <w:rsid w:val="00EF707B"/>
    <w:rsid w:val="00EF7300"/>
    <w:rsid w:val="00F00F62"/>
    <w:rsid w:val="00F03E0B"/>
    <w:rsid w:val="00F07A7B"/>
    <w:rsid w:val="00F1186A"/>
    <w:rsid w:val="00F2227E"/>
    <w:rsid w:val="00F22B42"/>
    <w:rsid w:val="00F2502F"/>
    <w:rsid w:val="00F25374"/>
    <w:rsid w:val="00F41312"/>
    <w:rsid w:val="00F419A3"/>
    <w:rsid w:val="00F41D4B"/>
    <w:rsid w:val="00F60CA6"/>
    <w:rsid w:val="00F6263F"/>
    <w:rsid w:val="00F6705A"/>
    <w:rsid w:val="00F761C5"/>
    <w:rsid w:val="00F85111"/>
    <w:rsid w:val="00FB58CC"/>
    <w:rsid w:val="00FC4888"/>
    <w:rsid w:val="00FD1759"/>
    <w:rsid w:val="00FE3832"/>
    <w:rsid w:val="00FF044E"/>
    <w:rsid w:val="00F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chartTrackingRefBased/>
  <w15:docId w15:val="{89EBAA26-D282-4883-B83B-64729D45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FootnoteText">
    <w:name w:val="footnote text"/>
    <w:basedOn w:val="Normal"/>
    <w:link w:val="FootnoteTextChar"/>
    <w:rsid w:val="006409D7"/>
  </w:style>
  <w:style w:type="character" w:customStyle="1" w:styleId="FootnoteTextChar">
    <w:name w:val="Footnote Text Char"/>
    <w:basedOn w:val="DefaultParagraphFont"/>
    <w:link w:val="FootnoteText"/>
    <w:rsid w:val="006409D7"/>
  </w:style>
  <w:style w:type="character" w:styleId="FootnoteReference">
    <w:name w:val="footnote reference"/>
    <w:rsid w:val="00640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How%20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T13003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cc.ligo.org/LIGO-M1300464" TargetMode="External"/><Relationship Id="rId4" Type="http://schemas.openxmlformats.org/officeDocument/2006/relationships/settings" Target="settings.xml"/><Relationship Id="rId9" Type="http://schemas.openxmlformats.org/officeDocument/2006/relationships/hyperlink" Target="https://dcc.ligo.org/LIGO-M140012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A4B3-3702-4134-BEEA-9B1E1AC6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4772</CharactersWithSpaces>
  <SharedDoc>false</SharedDoc>
  <HLinks>
    <vt:vector size="24" baseType="variant">
      <vt:variant>
        <vt:i4>7012472</vt:i4>
      </vt:variant>
      <vt:variant>
        <vt:i4>9</vt:i4>
      </vt:variant>
      <vt:variant>
        <vt:i4>0</vt:i4>
      </vt:variant>
      <vt:variant>
        <vt:i4>5</vt:i4>
      </vt:variant>
      <vt:variant>
        <vt:lpwstr>https://awiki.ligo-wa.caltech.edu/aLIGO/How To</vt:lpwstr>
      </vt:variant>
      <vt:variant>
        <vt:lpwstr/>
      </vt:variant>
      <vt:variant>
        <vt:i4>1048589</vt:i4>
      </vt:variant>
      <vt:variant>
        <vt:i4>6</vt:i4>
      </vt:variant>
      <vt:variant>
        <vt:i4>0</vt:i4>
      </vt:variant>
      <vt:variant>
        <vt:i4>5</vt:i4>
      </vt:variant>
      <vt:variant>
        <vt:lpwstr>https://dcc.ligo.org/T1300359</vt:lpwstr>
      </vt:variant>
      <vt:variant>
        <vt:lpwstr/>
      </vt:variant>
      <vt:variant>
        <vt:i4>7667809</vt:i4>
      </vt:variant>
      <vt:variant>
        <vt:i4>3</vt:i4>
      </vt:variant>
      <vt:variant>
        <vt:i4>0</vt:i4>
      </vt:variant>
      <vt:variant>
        <vt:i4>5</vt:i4>
      </vt:variant>
      <vt:variant>
        <vt:lpwstr>https://dcc.ligo.org/LIGO-M1300464</vt:lpwstr>
      </vt:variant>
      <vt:variant>
        <vt:lpwstr/>
      </vt:variant>
      <vt:variant>
        <vt:i4>8126562</vt:i4>
      </vt:variant>
      <vt:variant>
        <vt:i4>0</vt:i4>
      </vt:variant>
      <vt:variant>
        <vt:i4>0</vt:i4>
      </vt:variant>
      <vt:variant>
        <vt:i4>5</vt:i4>
      </vt:variant>
      <vt:variant>
        <vt:lpwstr>https://dcc.ligo.org/LIGO-M1400128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dc:creator>
  <cp:keywords/>
  <dc:description/>
  <cp:lastModifiedBy>coyne</cp:lastModifiedBy>
  <cp:revision>4</cp:revision>
  <cp:lastPrinted>2015-02-04T20:53:00Z</cp:lastPrinted>
  <dcterms:created xsi:type="dcterms:W3CDTF">2015-02-05T00:45:00Z</dcterms:created>
  <dcterms:modified xsi:type="dcterms:W3CDTF">2015-02-05T01:01:00Z</dcterms:modified>
</cp:coreProperties>
</file>