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78"/>
        <w:gridCol w:w="8190"/>
      </w:tblGrid>
      <w:tr w:rsidR="005477F4" w:rsidTr="009A5322">
        <w:tc>
          <w:tcPr>
            <w:tcW w:w="1278" w:type="dxa"/>
          </w:tcPr>
          <w:p w:rsidR="005477F4" w:rsidRDefault="005477F4" w:rsidP="009D2917">
            <w:pPr>
              <w:rPr>
                <w:rFonts w:cs="Arial"/>
              </w:rPr>
            </w:pPr>
            <w:r>
              <w:rPr>
                <w:rFonts w:cs="Arial"/>
              </w:rPr>
              <w:t>Subject</w:t>
            </w:r>
          </w:p>
        </w:tc>
        <w:tc>
          <w:tcPr>
            <w:tcW w:w="8190" w:type="dxa"/>
          </w:tcPr>
          <w:p w:rsidR="005477F4" w:rsidRDefault="00615E4A" w:rsidP="001D265B">
            <w:pPr>
              <w:jc w:val="left"/>
              <w:rPr>
                <w:rFonts w:cs="Arial"/>
              </w:rPr>
            </w:pPr>
            <w:r>
              <w:rPr>
                <w:rFonts w:cs="Arial"/>
                <w:i/>
                <w:sz w:val="28"/>
              </w:rPr>
              <w:t xml:space="preserve">Design Review Report for the </w:t>
            </w:r>
            <w:r>
              <w:rPr>
                <w:rFonts w:cs="Arial"/>
                <w:i/>
                <w:sz w:val="28"/>
              </w:rPr>
              <w:br/>
              <w:t>Test Mass Discharging System (TMDS)</w:t>
            </w:r>
          </w:p>
        </w:tc>
      </w:tr>
      <w:tr w:rsidR="005477F4" w:rsidTr="009A5322">
        <w:tc>
          <w:tcPr>
            <w:tcW w:w="1278" w:type="dxa"/>
          </w:tcPr>
          <w:p w:rsidR="005477F4" w:rsidRDefault="005477F4" w:rsidP="009D2917">
            <w:pPr>
              <w:rPr>
                <w:rFonts w:cs="Arial"/>
              </w:rPr>
            </w:pPr>
            <w:r>
              <w:rPr>
                <w:rFonts w:cs="Arial"/>
              </w:rPr>
              <w:t>To</w:t>
            </w:r>
          </w:p>
        </w:tc>
        <w:tc>
          <w:tcPr>
            <w:tcW w:w="8190" w:type="dxa"/>
          </w:tcPr>
          <w:p w:rsidR="005477F4" w:rsidRPr="00615E4A" w:rsidRDefault="00615E4A" w:rsidP="00615E4A">
            <w:pPr>
              <w:jc w:val="left"/>
              <w:rPr>
                <w:rFonts w:cs="Arial"/>
              </w:rPr>
            </w:pPr>
            <w:r w:rsidRPr="00615E4A">
              <w:rPr>
                <w:rFonts w:cs="Arial"/>
              </w:rPr>
              <w:t>TMDS d</w:t>
            </w:r>
            <w:r>
              <w:rPr>
                <w:rFonts w:cs="Arial"/>
              </w:rPr>
              <w:t xml:space="preserve">esign team: </w:t>
            </w:r>
            <w:r>
              <w:rPr>
                <w:rFonts w:cs="Arial"/>
              </w:rPr>
              <w:br/>
              <w:t xml:space="preserve">Rich Abbott, </w:t>
            </w:r>
            <w:r w:rsidRPr="00615E4A">
              <w:rPr>
                <w:rFonts w:cs="Arial"/>
              </w:rPr>
              <w:t>Dennis Coyne</w:t>
            </w:r>
            <w:r>
              <w:rPr>
                <w:rFonts w:cs="Arial"/>
              </w:rPr>
              <w:t>, Eddie Sanchez, Calum Torrie</w:t>
            </w:r>
          </w:p>
        </w:tc>
      </w:tr>
      <w:tr w:rsidR="008817AA" w:rsidTr="009A5322">
        <w:tc>
          <w:tcPr>
            <w:tcW w:w="1278" w:type="dxa"/>
          </w:tcPr>
          <w:p w:rsidR="008817AA" w:rsidRDefault="008817AA" w:rsidP="009D2917">
            <w:pPr>
              <w:rPr>
                <w:rFonts w:cs="Arial"/>
              </w:rPr>
            </w:pPr>
            <w:r>
              <w:rPr>
                <w:rFonts w:cs="Arial"/>
              </w:rPr>
              <w:t>From</w:t>
            </w:r>
          </w:p>
        </w:tc>
        <w:tc>
          <w:tcPr>
            <w:tcW w:w="8190" w:type="dxa"/>
          </w:tcPr>
          <w:p w:rsidR="00960D56" w:rsidRDefault="00615E4A" w:rsidP="00615E4A">
            <w:pPr>
              <w:jc w:val="left"/>
              <w:rPr>
                <w:rFonts w:cs="Arial"/>
              </w:rPr>
            </w:pPr>
            <w:r>
              <w:rPr>
                <w:rFonts w:cs="Arial"/>
              </w:rPr>
              <w:t xml:space="preserve">TMDC review committee: </w:t>
            </w:r>
            <w:r>
              <w:rPr>
                <w:rFonts w:cs="Arial"/>
              </w:rPr>
              <w:br/>
              <w:t>Scott McCormick, Richard Mittleman, David Nolting, Rai</w:t>
            </w:r>
            <w:r w:rsidR="00FA7638">
              <w:rPr>
                <w:rFonts w:cs="Arial"/>
              </w:rPr>
              <w:t xml:space="preserve">ner Weiss, </w:t>
            </w:r>
            <w:r w:rsidR="00FA7638">
              <w:rPr>
                <w:rFonts w:cs="Arial"/>
              </w:rPr>
              <w:br/>
            </w:r>
            <w:bookmarkStart w:id="0" w:name="_GoBack"/>
            <w:bookmarkEnd w:id="0"/>
            <w:r w:rsidR="00FA7638">
              <w:rPr>
                <w:rFonts w:cs="Arial"/>
              </w:rPr>
              <w:t>John Worden, Mike Zucker (chair)</w:t>
            </w:r>
          </w:p>
        </w:tc>
      </w:tr>
      <w:tr w:rsidR="005477F4" w:rsidTr="009A5322">
        <w:tc>
          <w:tcPr>
            <w:tcW w:w="1278" w:type="dxa"/>
          </w:tcPr>
          <w:p w:rsidR="005477F4" w:rsidRDefault="005477F4" w:rsidP="009D2917">
            <w:pPr>
              <w:rPr>
                <w:rFonts w:cs="Arial"/>
              </w:rPr>
            </w:pPr>
            <w:r>
              <w:rPr>
                <w:rFonts w:cs="Arial"/>
              </w:rPr>
              <w:t>Refer to</w:t>
            </w:r>
          </w:p>
        </w:tc>
        <w:tc>
          <w:tcPr>
            <w:tcW w:w="8190" w:type="dxa"/>
          </w:tcPr>
          <w:p w:rsidR="005477F4" w:rsidRDefault="00730809" w:rsidP="00615E4A">
            <w:pPr>
              <w:rPr>
                <w:rFonts w:cs="Arial"/>
              </w:rPr>
            </w:pPr>
            <w:r>
              <w:rPr>
                <w:rFonts w:cs="Arial"/>
              </w:rPr>
              <w:t>L1</w:t>
            </w:r>
            <w:r w:rsidR="005E36FB">
              <w:rPr>
                <w:rFonts w:cs="Arial"/>
              </w:rPr>
              <w:t>4</w:t>
            </w:r>
            <w:r>
              <w:rPr>
                <w:rFonts w:cs="Arial"/>
              </w:rPr>
              <w:t>00</w:t>
            </w:r>
            <w:r w:rsidR="00615E4A">
              <w:rPr>
                <w:rFonts w:cs="Arial"/>
              </w:rPr>
              <w:t>202</w:t>
            </w:r>
            <w:r w:rsidR="00BD2729">
              <w:rPr>
                <w:rFonts w:cs="Arial"/>
              </w:rPr>
              <w:t>-v1</w:t>
            </w:r>
          </w:p>
        </w:tc>
      </w:tr>
      <w:tr w:rsidR="005477F4" w:rsidTr="009A5322">
        <w:tc>
          <w:tcPr>
            <w:tcW w:w="1278" w:type="dxa"/>
          </w:tcPr>
          <w:p w:rsidR="005477F4" w:rsidRDefault="005477F4" w:rsidP="009D2917">
            <w:pPr>
              <w:rPr>
                <w:rFonts w:cs="Arial"/>
              </w:rPr>
            </w:pPr>
            <w:r>
              <w:rPr>
                <w:rFonts w:cs="Arial"/>
              </w:rPr>
              <w:t>Date</w:t>
            </w:r>
          </w:p>
        </w:tc>
        <w:tc>
          <w:tcPr>
            <w:tcW w:w="8190" w:type="dxa"/>
          </w:tcPr>
          <w:p w:rsidR="005477F4" w:rsidRDefault="005D39F1" w:rsidP="009D2917">
            <w:pPr>
              <w:rPr>
                <w:rFonts w:cs="Arial"/>
              </w:rPr>
            </w:pPr>
            <w:r>
              <w:rPr>
                <w:rFonts w:cs="Arial"/>
              </w:rPr>
              <w:t>18 Dec</w:t>
            </w:r>
            <w:r w:rsidR="005E36FB">
              <w:rPr>
                <w:rFonts w:cs="Arial"/>
              </w:rPr>
              <w:t xml:space="preserve"> 2014</w:t>
            </w:r>
          </w:p>
        </w:tc>
      </w:tr>
    </w:tbl>
    <w:p w:rsidR="005477F4" w:rsidRDefault="003C4B25" w:rsidP="005477F4">
      <w:pPr>
        <w:rPr>
          <w:rFonts w:cs="Arial"/>
        </w:rPr>
      </w:pPr>
      <w:r>
        <w:rPr>
          <w:noProof/>
        </w:rPr>
        <mc:AlternateContent>
          <mc:Choice Requires="wps">
            <w:drawing>
              <wp:anchor distT="0" distB="0" distL="114300" distR="114300" simplePos="0" relativeHeight="251657216" behindDoc="0" locked="0" layoutInCell="1" allowOverlap="1" wp14:anchorId="57F1FB7B" wp14:editId="7949714D">
                <wp:simplePos x="0" y="0"/>
                <wp:positionH relativeFrom="column">
                  <wp:posOffset>1135380</wp:posOffset>
                </wp:positionH>
                <wp:positionV relativeFrom="paragraph">
                  <wp:posOffset>-2538730</wp:posOffset>
                </wp:positionV>
                <wp:extent cx="4229100" cy="426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26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766939" w:rsidRPr="00065E19" w:rsidRDefault="00766939" w:rsidP="001D265B">
                            <w:pPr>
                              <w:ind w:left="720"/>
                              <w:rPr>
                                <w:b/>
                                <w:sz w:val="52"/>
                              </w:rPr>
                            </w:pPr>
                            <w:r w:rsidRPr="00065E19">
                              <w:rPr>
                                <w:b/>
                                <w:sz w:val="52"/>
                              </w:rPr>
                              <w:t xml:space="preserve">LIGO </w:t>
                            </w:r>
                            <w:r w:rsidR="001D265B" w:rsidRPr="00065E19">
                              <w:rPr>
                                <w:b/>
                                <w:sz w:val="52"/>
                              </w:rPr>
                              <w:t>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1FB7B" id="_x0000_t202" coordsize="21600,21600" o:spt="202" path="m,l,21600r21600,l21600,xe">
                <v:stroke joinstyle="miter"/>
                <v:path gradientshapeok="t" o:connecttype="rect"/>
              </v:shapetype>
              <v:shape id="Text Box 3" o:spid="_x0000_s1026" type="#_x0000_t202" style="position:absolute;left:0;text-align:left;margin-left:89.4pt;margin-top:-199.9pt;width:333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VbNQIAADkEAAAOAAAAZHJzL2Uyb0RvYy54bWysU9tu2zAMfR+wfxD0nvgyN42NOEWTIMOA&#10;7gK0+wBZli+YLWqSEjsb+u+j5CQLtrdhfhAskTwkzyFXD2PfkaPQpgWZ02geUiIkh7KVdU6/vuxn&#10;S0qMZbJkHUiR05Mw9GH99s1qUJmIoYGuFJogiDTZoHLaWKuyIDC8ET0zc1BCorEC3TOLV10HpWYD&#10;ovddEIfhIhhAl0oDF8bg624y0rXHryrB7eeqMsKSLqdYm/Wn9mfhzmC9YlmtmWpafi6D/UMVPWsl&#10;Jr1C7Zhl5KDbv6D6lmswUNk5hz6Aqmq58D1gN1H4RzfPDVPC94LkGHWlyfw/WP7p+EWTtkTtKJGs&#10;R4lexGjJBkbyzrEzKJOh07NCNzvis/N0nRr1BPybIRK2DZO1eNQahkawEquLXGRwEzrhGAdSDB+h&#10;xDTsYMEDjZXuHSCSQRAdVTpdlXGlcHxM4jiNQjRxtCXx4j720gUsu0Qrbex7AT1xPznVqLxHZ8cn&#10;Y101LLu4+Oqha8t923X+outi22lyZDgle//5BrDJW7dOOmcJLmxCnF6wSMzhbK5cr/rPNIqTcBOn&#10;s/1ieT9LquRult6Hy1kYpZt0ESZpstu/npNc4j1hjqOJLTsW41mAAsoTUqdhml/cN/xpQP+gZMDZ&#10;zan5fmBaUNJ9kEh/GiWJG3Z/Se4cWUTfWopbC5McoXJqKZl+t3ZakIPSbd1gpklwCY8oWdV6Np22&#10;U1VnoXE+PcnnXXILcHv3Xr83fv0LAAD//wMAUEsDBBQABgAIAAAAIQBxlcNc4AAAAA0BAAAPAAAA&#10;ZHJzL2Rvd25yZXYueG1sTI/NTsNADITvSLzDypW4oHZDG/JHNhUggbi29AGcZJtEzXqj7LZJ3x73&#10;RG8z9mj8Od/OphcXPbrOkoKXVQBCU2XrjhoFh9+vZQLCeaQae0tawVU72BaPDzlmtZ1opy973wgu&#10;IZehgtb7IZPSVa026FZ20MS7ox0NerZjI+sRJy43vVwHQSQNdsQXWhz0Z6ur0/5sFBx/pufXdCq/&#10;/SHehdEHdnFpr0o9Leb3NxBez/4/DDd8RoeCmUp7ptqJnn2cMLpXsNykKSuOJGHIoryNNusIZJHL&#10;+y+KPwAAAP//AwBQSwECLQAUAAYACAAAACEAtoM4kv4AAADhAQAAEwAAAAAAAAAAAAAAAAAAAAAA&#10;W0NvbnRlbnRfVHlwZXNdLnhtbFBLAQItABQABgAIAAAAIQA4/SH/1gAAAJQBAAALAAAAAAAAAAAA&#10;AAAAAC8BAABfcmVscy8ucmVsc1BLAQItABQABgAIAAAAIQArWnVbNQIAADkEAAAOAAAAAAAAAAAA&#10;AAAAAC4CAABkcnMvZTJvRG9jLnhtbFBLAQItABQABgAIAAAAIQBxlcNc4AAAAA0BAAAPAAAAAAAA&#10;AAAAAAAAAI8EAABkcnMvZG93bnJldi54bWxQSwUGAAAAAAQABADzAAAAnAUAAAAA&#10;" stroked="f">
                <v:textbox>
                  <w:txbxContent>
                    <w:p w:rsidR="00766939" w:rsidRPr="00065E19" w:rsidRDefault="00766939" w:rsidP="001D265B">
                      <w:pPr>
                        <w:ind w:left="720"/>
                        <w:rPr>
                          <w:b/>
                          <w:sz w:val="52"/>
                        </w:rPr>
                      </w:pPr>
                      <w:r w:rsidRPr="00065E19">
                        <w:rPr>
                          <w:b/>
                          <w:sz w:val="52"/>
                        </w:rPr>
                        <w:t xml:space="preserve">LIGO </w:t>
                      </w:r>
                      <w:r w:rsidR="001D265B" w:rsidRPr="00065E19">
                        <w:rPr>
                          <w:b/>
                          <w:sz w:val="52"/>
                        </w:rPr>
                        <w:t>Laboratory</w:t>
                      </w:r>
                    </w:p>
                  </w:txbxContent>
                </v:textbox>
              </v:shape>
            </w:pict>
          </mc:Fallback>
        </mc:AlternateContent>
      </w:r>
      <w:r w:rsidR="005D4F3D">
        <w:rPr>
          <w:noProof/>
        </w:rPr>
        <w:pict w14:anchorId="2382E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8pt;margin-top:-211.3pt;width:80.4pt;height:58.7pt;z-index:251658240;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w:pict>
      </w:r>
    </w:p>
    <w:p w:rsidR="005477F4" w:rsidRDefault="001D265B" w:rsidP="005477F4">
      <w:pPr>
        <w:rPr>
          <w:rFonts w:cs="Arial"/>
        </w:rPr>
      </w:pPr>
      <w:r>
        <w:rPr>
          <w:rFonts w:cs="Arial"/>
        </w:rPr>
        <w:t xml:space="preserve">The </w:t>
      </w:r>
      <w:r w:rsidR="00615E4A">
        <w:rPr>
          <w:rFonts w:cs="Arial"/>
        </w:rPr>
        <w:t>Test Mass Discharging System (TMDS) Design</w:t>
      </w:r>
      <w:r>
        <w:rPr>
          <w:rFonts w:cs="Arial"/>
        </w:rPr>
        <w:t xml:space="preserve"> Review Committee </w:t>
      </w:r>
      <w:r w:rsidR="00615E4A">
        <w:rPr>
          <w:rFonts w:cs="Arial"/>
        </w:rPr>
        <w:t>reviewed the design document (</w:t>
      </w:r>
      <w:hyperlink r:id="rId9" w:history="1">
        <w:r w:rsidR="00615E4A" w:rsidRPr="00A92047">
          <w:rPr>
            <w:rStyle w:val="Hyperlink"/>
            <w:rFonts w:cs="Arial"/>
          </w:rPr>
          <w:t>T1400713</w:t>
        </w:r>
      </w:hyperlink>
      <w:r w:rsidR="00615E4A">
        <w:rPr>
          <w:rFonts w:cs="Arial"/>
        </w:rPr>
        <w:t xml:space="preserve">) and met on 20 Nov 2014 to go over the presentation, </w:t>
      </w:r>
      <w:hyperlink r:id="rId10" w:history="1">
        <w:r w:rsidR="00615E4A" w:rsidRPr="00615E4A">
          <w:rPr>
            <w:rStyle w:val="Hyperlink"/>
            <w:rFonts w:cs="Arial"/>
          </w:rPr>
          <w:t>G1401337</w:t>
        </w:r>
      </w:hyperlink>
      <w:r>
        <w:rPr>
          <w:rFonts w:cs="Arial"/>
        </w:rPr>
        <w:t>.</w:t>
      </w:r>
      <w:r w:rsidR="00615E4A">
        <w:rPr>
          <w:rFonts w:cs="Arial"/>
        </w:rPr>
        <w:t xml:space="preserve"> The design review committee </w:t>
      </w:r>
      <w:r w:rsidR="00A92047">
        <w:rPr>
          <w:rFonts w:cs="Arial"/>
        </w:rPr>
        <w:t>recommends proceeding with the proposed TMDS design and implementation, with the caveats and recommendations included below.</w:t>
      </w:r>
    </w:p>
    <w:p w:rsidR="00AB3D99" w:rsidRDefault="00AB3D99" w:rsidP="005477F4">
      <w:pPr>
        <w:rPr>
          <w:rFonts w:cs="Arial"/>
        </w:rPr>
      </w:pPr>
    </w:p>
    <w:p w:rsidR="00AB3D99" w:rsidRDefault="00AB3D99" w:rsidP="005477F4">
      <w:pPr>
        <w:rPr>
          <w:rFonts w:cs="Arial"/>
        </w:rPr>
      </w:pPr>
      <w:r>
        <w:rPr>
          <w:rFonts w:cs="Arial"/>
        </w:rPr>
        <w:t>The review committee</w:t>
      </w:r>
      <w:r w:rsidR="00DF613F">
        <w:rPr>
          <w:rFonts w:cs="Arial"/>
        </w:rPr>
        <w:t xml:space="preserve"> concluded the following:</w:t>
      </w:r>
    </w:p>
    <w:p w:rsidR="00AB3D99" w:rsidRDefault="00DF613F" w:rsidP="009A5322">
      <w:pPr>
        <w:pStyle w:val="ListParagraph"/>
        <w:numPr>
          <w:ilvl w:val="0"/>
          <w:numId w:val="14"/>
        </w:numPr>
        <w:rPr>
          <w:rFonts w:cs="Arial"/>
        </w:rPr>
      </w:pPr>
      <w:r w:rsidRPr="009A5322">
        <w:rPr>
          <w:rFonts w:cs="Arial"/>
        </w:rPr>
        <w:t>Seventeen (</w:t>
      </w:r>
      <w:r w:rsidR="00AB3D99" w:rsidRPr="009A5322">
        <w:rPr>
          <w:rFonts w:cs="Arial"/>
        </w:rPr>
        <w:t>17</w:t>
      </w:r>
      <w:r w:rsidRPr="009A5322">
        <w:rPr>
          <w:rFonts w:cs="Arial"/>
        </w:rPr>
        <w:t>)</w:t>
      </w:r>
      <w:r w:rsidR="00AB3D99" w:rsidRPr="009A5322">
        <w:rPr>
          <w:rFonts w:cs="Arial"/>
        </w:rPr>
        <w:t xml:space="preserve"> sets should be procured, as proposed.</w:t>
      </w:r>
    </w:p>
    <w:p w:rsidR="00094AB5" w:rsidRDefault="00094AB5" w:rsidP="009A5322">
      <w:pPr>
        <w:pStyle w:val="ListParagraph"/>
        <w:numPr>
          <w:ilvl w:val="0"/>
          <w:numId w:val="14"/>
        </w:numPr>
        <w:rPr>
          <w:rFonts w:cs="Arial"/>
        </w:rPr>
      </w:pPr>
      <w:r>
        <w:rPr>
          <w:rFonts w:cs="Arial"/>
        </w:rPr>
        <w:t>Four (4) sets of scroll pumps (2 for LHO and 2 for LLO) should be procured, as proposed.</w:t>
      </w:r>
    </w:p>
    <w:p w:rsidR="00AB3D99" w:rsidRDefault="00094AB5" w:rsidP="009A5322">
      <w:pPr>
        <w:pStyle w:val="ListParagraph"/>
        <w:numPr>
          <w:ilvl w:val="0"/>
          <w:numId w:val="14"/>
        </w:numPr>
        <w:rPr>
          <w:rFonts w:cs="Arial"/>
        </w:rPr>
      </w:pPr>
      <w:r>
        <w:rPr>
          <w:rFonts w:cs="Arial"/>
        </w:rPr>
        <w:t xml:space="preserve">Since concern about potential </w:t>
      </w:r>
      <w:r w:rsidRPr="009A5322">
        <w:rPr>
          <w:rFonts w:cs="Arial"/>
        </w:rPr>
        <w:t xml:space="preserve">mirror damage </w:t>
      </w:r>
      <w:r>
        <w:rPr>
          <w:rFonts w:cs="Arial"/>
        </w:rPr>
        <w:t>due to ozone</w:t>
      </w:r>
      <w:r w:rsidRPr="009A5322">
        <w:rPr>
          <w:rFonts w:cs="Arial"/>
        </w:rPr>
        <w:t xml:space="preserve"> has been retired</w:t>
      </w:r>
      <w:r>
        <w:rPr>
          <w:rFonts w:cs="Arial"/>
        </w:rPr>
        <w:t>, the</w:t>
      </w:r>
      <w:r w:rsidRPr="009A5322">
        <w:rPr>
          <w:rFonts w:cs="Arial"/>
        </w:rPr>
        <w:t xml:space="preserve"> </w:t>
      </w:r>
      <w:r>
        <w:rPr>
          <w:rFonts w:cs="Arial"/>
        </w:rPr>
        <w:t>d</w:t>
      </w:r>
      <w:r w:rsidR="00AB3D99" w:rsidRPr="009A5322">
        <w:rPr>
          <w:rFonts w:cs="Arial"/>
        </w:rPr>
        <w:t>ry purge air should be the baseline gas source</w:t>
      </w:r>
      <w:r>
        <w:rPr>
          <w:rFonts w:cs="Arial"/>
        </w:rPr>
        <w:t>; There is no need to carry LN2 boil-off as an option.</w:t>
      </w:r>
    </w:p>
    <w:p w:rsidR="00094AB5" w:rsidRPr="00094AB5" w:rsidRDefault="00094AB5" w:rsidP="00094AB5">
      <w:pPr>
        <w:pStyle w:val="ListParagraph"/>
        <w:numPr>
          <w:ilvl w:val="0"/>
          <w:numId w:val="14"/>
        </w:numPr>
        <w:rPr>
          <w:rFonts w:cs="Arial"/>
        </w:rPr>
      </w:pPr>
      <w:r>
        <w:rPr>
          <w:rFonts w:cs="Arial"/>
        </w:rPr>
        <w:t>Purge air plumbing should be provided to each of the test mass chambers.</w:t>
      </w:r>
    </w:p>
    <w:p w:rsidR="00AB3D99" w:rsidRDefault="00AB3D99" w:rsidP="009A5322">
      <w:pPr>
        <w:pStyle w:val="ListParagraph"/>
        <w:numPr>
          <w:ilvl w:val="0"/>
          <w:numId w:val="14"/>
        </w:numPr>
        <w:rPr>
          <w:rFonts w:cs="Arial"/>
        </w:rPr>
      </w:pPr>
      <w:r w:rsidRPr="009A5322">
        <w:rPr>
          <w:rFonts w:cs="Arial"/>
        </w:rPr>
        <w:t xml:space="preserve">Commandeering existing LP outlet &amp; piping from dryer skids is not considered safe. Implement </w:t>
      </w:r>
      <w:r w:rsidR="00094AB5">
        <w:rPr>
          <w:rFonts w:cs="Arial"/>
        </w:rPr>
        <w:t xml:space="preserve">a </w:t>
      </w:r>
      <w:r w:rsidRPr="009A5322">
        <w:rPr>
          <w:rFonts w:cs="Arial"/>
        </w:rPr>
        <w:t>specific tap on HP side of dry air skid with dedicated regulator and separate SS piping system and particulate filters to deliver gas to ionizers.</w:t>
      </w:r>
    </w:p>
    <w:p w:rsidR="003879CA" w:rsidRPr="003879CA" w:rsidRDefault="003879CA" w:rsidP="003879CA">
      <w:pPr>
        <w:pStyle w:val="ListParagraph"/>
        <w:numPr>
          <w:ilvl w:val="0"/>
          <w:numId w:val="14"/>
        </w:numPr>
        <w:rPr>
          <w:rFonts w:cs="Arial"/>
        </w:rPr>
      </w:pPr>
      <w:r>
        <w:rPr>
          <w:rFonts w:cs="Arial"/>
        </w:rPr>
        <w:t>A</w:t>
      </w:r>
      <w:r w:rsidRPr="003879CA">
        <w:rPr>
          <w:rFonts w:cs="Arial"/>
        </w:rPr>
        <w:t xml:space="preserve"> </w:t>
      </w:r>
      <w:r w:rsidR="00094AB5">
        <w:rPr>
          <w:rFonts w:cs="Arial"/>
        </w:rPr>
        <w:t xml:space="preserve">dry ics mixture bath, subsequent heater and </w:t>
      </w:r>
      <w:r>
        <w:rPr>
          <w:rFonts w:cs="Arial"/>
        </w:rPr>
        <w:t xml:space="preserve">particulate </w:t>
      </w:r>
      <w:r w:rsidRPr="003879CA">
        <w:rPr>
          <w:rFonts w:cs="Arial"/>
        </w:rPr>
        <w:t xml:space="preserve">filter system </w:t>
      </w:r>
      <w:r>
        <w:rPr>
          <w:rFonts w:cs="Arial"/>
        </w:rPr>
        <w:t xml:space="preserve">must be added to the dry purge air to insure </w:t>
      </w:r>
      <w:r w:rsidR="00094AB5">
        <w:rPr>
          <w:rFonts w:cs="Arial"/>
        </w:rPr>
        <w:t xml:space="preserve">hydrocarbon and </w:t>
      </w:r>
      <w:r>
        <w:rPr>
          <w:rFonts w:cs="Arial"/>
        </w:rPr>
        <w:t>particulate-free operation.</w:t>
      </w:r>
    </w:p>
    <w:p w:rsidR="003879CA" w:rsidRPr="009A5322" w:rsidRDefault="003879CA" w:rsidP="003879CA">
      <w:pPr>
        <w:pStyle w:val="ListParagraph"/>
        <w:numPr>
          <w:ilvl w:val="0"/>
          <w:numId w:val="14"/>
        </w:numPr>
        <w:rPr>
          <w:rFonts w:cs="Arial"/>
        </w:rPr>
      </w:pPr>
      <w:r>
        <w:rPr>
          <w:rFonts w:cs="Arial"/>
        </w:rPr>
        <w:t>The review committee c</w:t>
      </w:r>
      <w:r w:rsidRPr="00AB3D99">
        <w:rPr>
          <w:rFonts w:cs="Arial"/>
        </w:rPr>
        <w:t>onsider</w:t>
      </w:r>
      <w:r>
        <w:rPr>
          <w:rFonts w:cs="Arial"/>
        </w:rPr>
        <w:t>ed an electrically</w:t>
      </w:r>
      <w:r w:rsidRPr="00AB3D99">
        <w:rPr>
          <w:rFonts w:cs="Arial"/>
        </w:rPr>
        <w:t xml:space="preserve"> insulated aperture plate mount</w:t>
      </w:r>
      <w:r w:rsidR="000A07C1">
        <w:rPr>
          <w:rFonts w:cs="Arial"/>
        </w:rPr>
        <w:t xml:space="preserve"> which would </w:t>
      </w:r>
      <w:r w:rsidRPr="00AB3D99">
        <w:rPr>
          <w:rFonts w:cs="Arial"/>
        </w:rPr>
        <w:t xml:space="preserve">allow independent adjustment of </w:t>
      </w:r>
      <w:r w:rsidR="000A07C1">
        <w:rPr>
          <w:rFonts w:cs="Arial"/>
        </w:rPr>
        <w:t xml:space="preserve">the aperture </w:t>
      </w:r>
      <w:r w:rsidRPr="00AB3D99">
        <w:rPr>
          <w:rFonts w:cs="Arial"/>
        </w:rPr>
        <w:t xml:space="preserve">plate potential </w:t>
      </w:r>
      <w:r w:rsidR="000A07C1">
        <w:rPr>
          <w:rFonts w:cs="Arial"/>
        </w:rPr>
        <w:t>with regard to</w:t>
      </w:r>
      <w:r w:rsidRPr="00AB3D99">
        <w:rPr>
          <w:rFonts w:cs="Arial"/>
        </w:rPr>
        <w:t xml:space="preserve"> ground</w:t>
      </w:r>
      <w:r w:rsidR="000A07C1">
        <w:rPr>
          <w:rFonts w:cs="Arial"/>
        </w:rPr>
        <w:t>, either as a means to improve ion generation efficiency or as a diagnostic. In the end this was deemed not likely to be useful</w:t>
      </w:r>
      <w:r w:rsidR="000A07C1">
        <w:rPr>
          <w:rStyle w:val="FootnoteReference"/>
          <w:rFonts w:cs="Arial"/>
        </w:rPr>
        <w:footnoteReference w:id="1"/>
      </w:r>
      <w:r w:rsidRPr="00AB3D99">
        <w:rPr>
          <w:rFonts w:cs="Arial"/>
        </w:rPr>
        <w:t>.</w:t>
      </w:r>
    </w:p>
    <w:p w:rsidR="00775109" w:rsidRDefault="00775109" w:rsidP="005477F4">
      <w:pPr>
        <w:rPr>
          <w:rFonts w:cs="Arial"/>
        </w:rPr>
      </w:pPr>
    </w:p>
    <w:p w:rsidR="00AB3D99" w:rsidRDefault="00AB3D99" w:rsidP="005477F4">
      <w:pPr>
        <w:rPr>
          <w:rFonts w:cs="Arial"/>
        </w:rPr>
      </w:pPr>
      <w:r>
        <w:rPr>
          <w:rFonts w:cs="Arial"/>
        </w:rPr>
        <w:t>Action Items</w:t>
      </w:r>
      <w:r w:rsidR="009A5322">
        <w:rPr>
          <w:rFonts w:cs="Arial"/>
        </w:rPr>
        <w:t>/tasks which resulted from the review are listed below (with nominal assigned individual indicated in parenthesis). The team will collect responses to these action items in a separate document.</w:t>
      </w:r>
    </w:p>
    <w:p w:rsidR="00ED5FE7" w:rsidRPr="00AB3D99" w:rsidRDefault="00ED5FE7" w:rsidP="00AB3D99">
      <w:pPr>
        <w:pStyle w:val="ListParagraph"/>
        <w:numPr>
          <w:ilvl w:val="0"/>
          <w:numId w:val="13"/>
        </w:numPr>
        <w:rPr>
          <w:rFonts w:cs="Arial"/>
        </w:rPr>
      </w:pPr>
      <w:r w:rsidRPr="00AB3D99">
        <w:rPr>
          <w:rFonts w:cs="Arial"/>
        </w:rPr>
        <w:lastRenderedPageBreak/>
        <w:t xml:space="preserve">(Dennis) Provide suitable mechanical support to transmit moments to the 10" chamber nozzle or to other suitable chamber features. Mechanical support from lab floor or other independent structure may subject assembly to moments/loads due to thermal and barometric flexing of the vessel and vessel supports. </w:t>
      </w:r>
    </w:p>
    <w:p w:rsidR="00ED5FE7" w:rsidRDefault="00ED5FE7" w:rsidP="00ED5FE7">
      <w:pPr>
        <w:pStyle w:val="ListParagraph"/>
        <w:numPr>
          <w:ilvl w:val="0"/>
          <w:numId w:val="13"/>
        </w:numPr>
        <w:rPr>
          <w:rFonts w:cs="Arial"/>
        </w:rPr>
      </w:pPr>
      <w:r w:rsidRPr="00AB3D99">
        <w:rPr>
          <w:rFonts w:cs="Arial"/>
        </w:rPr>
        <w:t xml:space="preserve">(Dennis) Consider alternate methods of providing for alignment of aperture plate to source array. Determine if "hot" alignment (using electrometer readout with ionizer operating) is required after assembly, or if precision assembly with some fiducial is adequate. </w:t>
      </w:r>
    </w:p>
    <w:p w:rsidR="00ED5FE7" w:rsidRDefault="00ED5FE7" w:rsidP="00ED5FE7">
      <w:pPr>
        <w:pStyle w:val="ListParagraph"/>
        <w:numPr>
          <w:ilvl w:val="0"/>
          <w:numId w:val="13"/>
        </w:numPr>
        <w:rPr>
          <w:rFonts w:cs="Arial"/>
        </w:rPr>
      </w:pPr>
      <w:r w:rsidRPr="00AB3D99">
        <w:rPr>
          <w:rFonts w:cs="Arial"/>
        </w:rPr>
        <w:t xml:space="preserve">(Scott) Provide </w:t>
      </w:r>
      <w:r w:rsidR="00094AB5">
        <w:rPr>
          <w:rFonts w:cs="Arial"/>
        </w:rPr>
        <w:t>preferred</w:t>
      </w:r>
      <w:r w:rsidRPr="00AB3D99">
        <w:rPr>
          <w:rFonts w:cs="Arial"/>
        </w:rPr>
        <w:t xml:space="preserve"> scroll pump spec/order info to </w:t>
      </w:r>
      <w:r w:rsidR="00094AB5">
        <w:rPr>
          <w:rFonts w:cs="Arial"/>
        </w:rPr>
        <w:t>the TMDS team.</w:t>
      </w:r>
    </w:p>
    <w:p w:rsidR="00ED5FE7" w:rsidRDefault="00ED5FE7" w:rsidP="00ED5FE7">
      <w:pPr>
        <w:pStyle w:val="ListParagraph"/>
        <w:numPr>
          <w:ilvl w:val="0"/>
          <w:numId w:val="13"/>
        </w:numPr>
        <w:rPr>
          <w:rFonts w:cs="Arial"/>
        </w:rPr>
      </w:pPr>
      <w:r w:rsidRPr="00AB3D99">
        <w:rPr>
          <w:rFonts w:cs="Arial"/>
        </w:rPr>
        <w:t>(Calum) Integrate dry ice cold trap in gas feed</w:t>
      </w:r>
    </w:p>
    <w:p w:rsidR="00ED5FE7" w:rsidRDefault="00ED5FE7" w:rsidP="00ED5FE7">
      <w:pPr>
        <w:pStyle w:val="ListParagraph"/>
        <w:numPr>
          <w:ilvl w:val="0"/>
          <w:numId w:val="13"/>
        </w:numPr>
        <w:rPr>
          <w:rFonts w:cs="Arial"/>
        </w:rPr>
      </w:pPr>
      <w:r w:rsidRPr="00AB3D99">
        <w:rPr>
          <w:rFonts w:cs="Arial"/>
        </w:rPr>
        <w:t>(Calum) Integrate active or passive warming loop to recover room temperature before gas injection</w:t>
      </w:r>
    </w:p>
    <w:p w:rsidR="00ED5FE7" w:rsidRDefault="00AB3D99" w:rsidP="00ED5FE7">
      <w:pPr>
        <w:pStyle w:val="ListParagraph"/>
        <w:numPr>
          <w:ilvl w:val="0"/>
          <w:numId w:val="13"/>
        </w:numPr>
        <w:rPr>
          <w:rFonts w:cs="Arial"/>
        </w:rPr>
      </w:pPr>
      <w:r w:rsidRPr="00AB3D99">
        <w:rPr>
          <w:rFonts w:cs="Arial"/>
        </w:rPr>
        <w:t>(all) Commandeering existing LP outlet &amp; piping from dryer skids is not considered safe. Implement specific tap on HP side of dry air skid with dedicated regulator and separate SS piping system and particulate filters to deliver gas to ionizers.</w:t>
      </w:r>
    </w:p>
    <w:p w:rsidR="00ED5FE7" w:rsidRDefault="00ED5FE7" w:rsidP="00ED5FE7">
      <w:pPr>
        <w:pStyle w:val="ListParagraph"/>
        <w:numPr>
          <w:ilvl w:val="0"/>
          <w:numId w:val="13"/>
        </w:numPr>
        <w:rPr>
          <w:rFonts w:cs="Arial"/>
        </w:rPr>
      </w:pPr>
      <w:r w:rsidRPr="009A5322">
        <w:rPr>
          <w:rFonts w:cs="Arial"/>
        </w:rPr>
        <w:t>(Calum) Swagelok connections are vulnerable to thermal cycling, consider changing supply side gas fittings to VCR or other hi-rel standard.</w:t>
      </w:r>
      <w:r w:rsidR="00094AB5">
        <w:rPr>
          <w:rFonts w:cs="Arial"/>
        </w:rPr>
        <w:t xml:space="preserve"> (see pg. 5 of </w:t>
      </w:r>
      <w:hyperlink r:id="rId11" w:history="1">
        <w:r w:rsidR="00094AB5" w:rsidRPr="00615E4A">
          <w:rPr>
            <w:rStyle w:val="Hyperlink"/>
            <w:rFonts w:cs="Arial"/>
          </w:rPr>
          <w:t>G1401337</w:t>
        </w:r>
      </w:hyperlink>
      <w:r w:rsidR="00094AB5">
        <w:rPr>
          <w:rFonts w:cs="Arial"/>
        </w:rPr>
        <w:t>)</w:t>
      </w:r>
    </w:p>
    <w:p w:rsidR="00ED5FE7" w:rsidRDefault="00ED5FE7" w:rsidP="00ED5FE7">
      <w:pPr>
        <w:pStyle w:val="ListParagraph"/>
        <w:numPr>
          <w:ilvl w:val="0"/>
          <w:numId w:val="13"/>
        </w:numPr>
        <w:rPr>
          <w:rFonts w:cs="Arial"/>
        </w:rPr>
      </w:pPr>
      <w:r w:rsidRPr="009A5322">
        <w:rPr>
          <w:rFonts w:cs="Arial"/>
        </w:rPr>
        <w:t xml:space="preserve">(Rich) Solid state HV design provides enhanced flexibility, but may not be necessary. Also may be fussy to develop. While working this problem we recommend procuring variac/NST components and chassis/packaging/safety systems in parallel, since cost impact of duplication is low. </w:t>
      </w:r>
    </w:p>
    <w:p w:rsidR="00ED5FE7" w:rsidRDefault="00ED5FE7" w:rsidP="00ED5FE7">
      <w:pPr>
        <w:pStyle w:val="ListParagraph"/>
        <w:numPr>
          <w:ilvl w:val="0"/>
          <w:numId w:val="13"/>
        </w:numPr>
        <w:rPr>
          <w:rFonts w:cs="Arial"/>
        </w:rPr>
      </w:pPr>
      <w:r w:rsidRPr="009A5322">
        <w:rPr>
          <w:rFonts w:cs="Arial"/>
        </w:rPr>
        <w:t xml:space="preserve">(Dennis) </w:t>
      </w:r>
      <w:r w:rsidR="00094AB5">
        <w:rPr>
          <w:rFonts w:cs="Arial"/>
        </w:rPr>
        <w:t>M</w:t>
      </w:r>
      <w:r w:rsidRPr="009A5322">
        <w:rPr>
          <w:rFonts w:cs="Arial"/>
        </w:rPr>
        <w:t>odel the flow and ion entrainment around the needles</w:t>
      </w:r>
      <w:r w:rsidR="00094AB5">
        <w:rPr>
          <w:rFonts w:cs="Arial"/>
        </w:rPr>
        <w:t xml:space="preserve"> (c</w:t>
      </w:r>
      <w:r w:rsidR="00094AB5" w:rsidRPr="009A5322">
        <w:rPr>
          <w:rFonts w:cs="Arial"/>
        </w:rPr>
        <w:t xml:space="preserve">onsider consultants or services </w:t>
      </w:r>
      <w:r w:rsidR="00094AB5">
        <w:rPr>
          <w:rFonts w:cs="Arial"/>
        </w:rPr>
        <w:t>if needed)</w:t>
      </w:r>
      <w:r w:rsidRPr="009A5322">
        <w:rPr>
          <w:rFonts w:cs="Arial"/>
        </w:rPr>
        <w:t>. Consider alternate needle and/or needle insulator designs which could modify flow conditions around the tip (e.g., increased bores; grinding flats on needle sides).</w:t>
      </w:r>
    </w:p>
    <w:p w:rsidR="00ED5FE7" w:rsidRDefault="00ED5FE7" w:rsidP="00ED5FE7">
      <w:pPr>
        <w:pStyle w:val="ListParagraph"/>
        <w:numPr>
          <w:ilvl w:val="0"/>
          <w:numId w:val="13"/>
        </w:numPr>
        <w:rPr>
          <w:rFonts w:cs="Arial"/>
        </w:rPr>
      </w:pPr>
      <w:r w:rsidRPr="009A5322">
        <w:rPr>
          <w:rFonts w:cs="Arial"/>
        </w:rPr>
        <w:t xml:space="preserve">(Rai, Rich) Consider if </w:t>
      </w:r>
      <w:r w:rsidR="003C4B25" w:rsidRPr="009A5322">
        <w:rPr>
          <w:rFonts w:cs="Arial"/>
        </w:rPr>
        <w:t>automated</w:t>
      </w:r>
      <w:r w:rsidRPr="009A5322">
        <w:rPr>
          <w:rFonts w:cs="Arial"/>
        </w:rPr>
        <w:t xml:space="preserve"> "corona monitor" safety cutoff is worth implementing (probably not)</w:t>
      </w:r>
    </w:p>
    <w:p w:rsidR="003879CA" w:rsidRDefault="003879CA" w:rsidP="00ED5FE7">
      <w:pPr>
        <w:pStyle w:val="ListParagraph"/>
        <w:numPr>
          <w:ilvl w:val="0"/>
          <w:numId w:val="13"/>
        </w:numPr>
        <w:rPr>
          <w:rFonts w:cs="Arial"/>
        </w:rPr>
      </w:pPr>
      <w:r>
        <w:rPr>
          <w:rFonts w:cs="Arial"/>
        </w:rPr>
        <w:t>(Calum) Define a suitable particulate filter for the dry purge air system. This filter will be used in testing at LLO with the prototype TMDS in December and January.</w:t>
      </w:r>
    </w:p>
    <w:p w:rsidR="00363AFE" w:rsidRDefault="00363AFE" w:rsidP="00ED5FE7">
      <w:pPr>
        <w:pStyle w:val="ListParagraph"/>
        <w:numPr>
          <w:ilvl w:val="0"/>
          <w:numId w:val="13"/>
        </w:numPr>
        <w:rPr>
          <w:rFonts w:cs="Arial"/>
        </w:rPr>
      </w:pPr>
      <w:r>
        <w:rPr>
          <w:rFonts w:cs="Arial"/>
        </w:rPr>
        <w:t xml:space="preserve">(Eddie) rotate the angle valve so that it’s operation does not require proximity to the gate valve handle. (see pg. 5 of </w:t>
      </w:r>
      <w:hyperlink r:id="rId12" w:history="1">
        <w:r w:rsidRPr="00615E4A">
          <w:rPr>
            <w:rStyle w:val="Hyperlink"/>
            <w:rFonts w:cs="Arial"/>
          </w:rPr>
          <w:t>G1401337</w:t>
        </w:r>
      </w:hyperlink>
      <w:r>
        <w:rPr>
          <w:rFonts w:cs="Arial"/>
        </w:rPr>
        <w:t>)</w:t>
      </w:r>
    </w:p>
    <w:p w:rsidR="00363AFE" w:rsidRPr="00363AFE" w:rsidRDefault="00363AFE" w:rsidP="00363AFE">
      <w:pPr>
        <w:pStyle w:val="ListParagraph"/>
        <w:numPr>
          <w:ilvl w:val="0"/>
          <w:numId w:val="13"/>
        </w:numPr>
        <w:rPr>
          <w:rFonts w:cs="Arial"/>
        </w:rPr>
      </w:pPr>
      <w:r>
        <w:rPr>
          <w:rFonts w:cs="Arial"/>
        </w:rPr>
        <w:t xml:space="preserve">(Eddie) show the existing interface/flange at BSC door with a welded nipple (see pg. 5 of </w:t>
      </w:r>
      <w:hyperlink r:id="rId13" w:history="1">
        <w:r w:rsidRPr="00615E4A">
          <w:rPr>
            <w:rStyle w:val="Hyperlink"/>
            <w:rFonts w:cs="Arial"/>
          </w:rPr>
          <w:t>G1401337</w:t>
        </w:r>
      </w:hyperlink>
      <w:r>
        <w:rPr>
          <w:rFonts w:cs="Arial"/>
        </w:rPr>
        <w:t>)</w:t>
      </w:r>
    </w:p>
    <w:p w:rsidR="00A92047" w:rsidRDefault="00A92047" w:rsidP="005477F4">
      <w:pPr>
        <w:rPr>
          <w:rFonts w:cs="Arial"/>
        </w:rPr>
      </w:pPr>
    </w:p>
    <w:sectPr w:rsidR="00A92047" w:rsidSect="003C4B25">
      <w:headerReference w:type="default" r:id="rId14"/>
      <w:footerReference w:type="default" r:id="rId15"/>
      <w:footerReference w:type="first" r:id="rId16"/>
      <w:pgSz w:w="12240" w:h="15840" w:code="1"/>
      <w:pgMar w:top="179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3D" w:rsidRDefault="005D4F3D" w:rsidP="0063053D">
      <w:r>
        <w:separator/>
      </w:r>
    </w:p>
  </w:endnote>
  <w:endnote w:type="continuationSeparator" w:id="0">
    <w:p w:rsidR="005D4F3D" w:rsidRDefault="005D4F3D"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9" w:rsidRDefault="00766939" w:rsidP="0063053D">
    <w:pPr>
      <w:pStyle w:val="Footer"/>
    </w:pPr>
    <w:r w:rsidRPr="00B5781C">
      <w:t>CALIFORNIA INSTITUTE OF TECHNOLOGY</w:t>
    </w:r>
  </w:p>
  <w:p w:rsidR="00766939" w:rsidRPr="00B5781C" w:rsidRDefault="00766939" w:rsidP="0063053D">
    <w:pPr>
      <w:pStyle w:val="Footer"/>
      <w:rPr>
        <w:rFonts w:cs="Arial"/>
        <w:i/>
        <w:iCs/>
      </w:rPr>
    </w:pPr>
    <w:r w:rsidRPr="004118D4">
      <w:rPr>
        <w:sz w:val="18"/>
      </w:rPr>
      <w:t>Form F0900023-v1</w:t>
    </w: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FA7638" w:rsidRPr="00FA7638">
      <w:rPr>
        <w:b/>
        <w:bCs/>
        <w:noProof/>
      </w:rPr>
      <w:t>2</w:t>
    </w:r>
    <w:r w:rsidRPr="008E6250">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9" w:rsidRPr="00065E19" w:rsidRDefault="00766939">
    <w:pPr>
      <w:pStyle w:val="Footer"/>
    </w:pPr>
    <w:r w:rsidRPr="00B5781C">
      <w:t>CALIFORNIA INSTITUTE OF TECHNOLOGY</w:t>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FA7638" w:rsidRPr="00FA7638">
      <w:rPr>
        <w:b/>
        <w:bCs/>
        <w:noProof/>
      </w:rPr>
      <w:t>1</w:t>
    </w:r>
    <w:r w:rsidRPr="008E625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3D" w:rsidRDefault="005D4F3D" w:rsidP="0063053D">
      <w:r>
        <w:separator/>
      </w:r>
    </w:p>
  </w:footnote>
  <w:footnote w:type="continuationSeparator" w:id="0">
    <w:p w:rsidR="005D4F3D" w:rsidRDefault="005D4F3D" w:rsidP="0063053D">
      <w:r>
        <w:continuationSeparator/>
      </w:r>
    </w:p>
  </w:footnote>
  <w:footnote w:id="1">
    <w:p w:rsidR="000A07C1" w:rsidRDefault="000A07C1" w:rsidP="000A07C1">
      <w:pPr>
        <w:pStyle w:val="FootnoteText"/>
      </w:pPr>
      <w:r>
        <w:rPr>
          <w:rStyle w:val="FootnoteReference"/>
        </w:rPr>
        <w:footnoteRef/>
      </w:r>
      <w:r>
        <w:t xml:space="preserve"> The positive and negative ions are in bunches separated by the flow velocity times 1/120 second. The flow velocity is entirely determined by the pressure difference between the ionizing needle chamber and that in the chamber following the apertures. The pressure is exerted on the entire gas which is neutral except for a fraction 10</w:t>
      </w:r>
      <w:r w:rsidRPr="000A07C1">
        <w:rPr>
          <w:vertAlign w:val="superscript"/>
        </w:rPr>
        <w:t>-4</w:t>
      </w:r>
      <w:r>
        <w:t xml:space="preserve"> that is ionized. The mobility of the ions, the ratio of the velocity given to the ion divided by the electric field at a neutral density of 10</w:t>
      </w:r>
      <w:r w:rsidRPr="000A07C1">
        <w:rPr>
          <w:vertAlign w:val="superscript"/>
        </w:rPr>
        <w:t>22</w:t>
      </w:r>
      <w:r>
        <w:t xml:space="preserve"> molecules/cc is small. It would require a field of 30KV/cm to change the ion flow pattern from being entrained in the neutral gas. The flow at these high gas densities is almost entirely determined by the neutral gas streamlines.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9" w:rsidRPr="004C35A6" w:rsidRDefault="00ED5FE7" w:rsidP="0063053D">
    <w:pPr>
      <w:pStyle w:val="Header"/>
    </w:pPr>
    <w:r>
      <w:rPr>
        <w:rFonts w:cs="Arial"/>
      </w:rPr>
      <w:t>L1400202</w:t>
    </w:r>
    <w:r w:rsidR="00953C16">
      <w:rPr>
        <w:sz w:val="22"/>
      </w:rPr>
      <w:t>-v1</w:t>
    </w:r>
    <w:r w:rsidR="00766939" w:rsidRPr="00E4540E">
      <w:rPr>
        <w:sz w:val="22"/>
      </w:rPr>
      <w:t xml:space="preserve">, </w:t>
    </w:r>
    <w:r>
      <w:rPr>
        <w:sz w:val="22"/>
      </w:rPr>
      <w:t>TMDS Design Review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7A8D972"/>
    <w:lvl w:ilvl="0">
      <w:start w:val="1"/>
      <w:numFmt w:val="decimal"/>
      <w:lvlText w:val="%1."/>
      <w:lvlJc w:val="left"/>
      <w:pPr>
        <w:tabs>
          <w:tab w:val="num" w:pos="360"/>
        </w:tabs>
        <w:ind w:left="360" w:hanging="360"/>
      </w:pPr>
    </w:lvl>
  </w:abstractNum>
  <w:abstractNum w:abstractNumId="1">
    <w:nsid w:val="00101B2A"/>
    <w:multiLevelType w:val="hybridMultilevel"/>
    <w:tmpl w:val="90B6F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364EF"/>
    <w:multiLevelType w:val="hybridMultilevel"/>
    <w:tmpl w:val="C7709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C3CD5"/>
    <w:multiLevelType w:val="hybridMultilevel"/>
    <w:tmpl w:val="98EC4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23370B"/>
    <w:multiLevelType w:val="hybridMultilevel"/>
    <w:tmpl w:val="CB96B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550752"/>
    <w:multiLevelType w:val="hybridMultilevel"/>
    <w:tmpl w:val="F30474BA"/>
    <w:lvl w:ilvl="0" w:tplc="6B12E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764AA"/>
    <w:multiLevelType w:val="hybridMultilevel"/>
    <w:tmpl w:val="437C5DBC"/>
    <w:lvl w:ilvl="0" w:tplc="6B12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4A2C54"/>
    <w:multiLevelType w:val="hybridMultilevel"/>
    <w:tmpl w:val="9E7CA2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6EE1F1E"/>
    <w:multiLevelType w:val="hybridMultilevel"/>
    <w:tmpl w:val="07D25F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CB17F9"/>
    <w:multiLevelType w:val="hybridMultilevel"/>
    <w:tmpl w:val="9DF418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05357C"/>
    <w:multiLevelType w:val="hybridMultilevel"/>
    <w:tmpl w:val="3E1AD1CE"/>
    <w:lvl w:ilvl="0" w:tplc="743EFDB8">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D775FD"/>
    <w:multiLevelType w:val="hybridMultilevel"/>
    <w:tmpl w:val="7206B72C"/>
    <w:lvl w:ilvl="0" w:tplc="B05058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3A4FF6"/>
    <w:multiLevelType w:val="hybridMultilevel"/>
    <w:tmpl w:val="7F5EB90C"/>
    <w:lvl w:ilvl="0" w:tplc="F3B645F4">
      <w:start w:val="1"/>
      <w:numFmt w:val="decimal"/>
      <w:pStyle w:val="Questio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F5381418">
      <w:start w:val="1"/>
      <w:numFmt w:val="decimal"/>
      <w:lvlText w:val="%3."/>
      <w:lvlJc w:val="left"/>
      <w:pPr>
        <w:tabs>
          <w:tab w:val="num" w:pos="1980"/>
        </w:tabs>
        <w:ind w:left="1980" w:hanging="360"/>
      </w:pPr>
      <w:rPr>
        <w:rFonts w:hint="default"/>
      </w:rPr>
    </w:lvl>
    <w:lvl w:ilvl="3" w:tplc="BAC6E72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10"/>
  </w:num>
  <w:num w:numId="4">
    <w:abstractNumId w:val="4"/>
  </w:num>
  <w:num w:numId="5">
    <w:abstractNumId w:val="2"/>
  </w:num>
  <w:num w:numId="6">
    <w:abstractNumId w:val="0"/>
  </w:num>
  <w:num w:numId="7">
    <w:abstractNumId w:val="3"/>
  </w:num>
  <w:num w:numId="8">
    <w:abstractNumId w:val="12"/>
  </w:num>
  <w:num w:numId="9">
    <w:abstractNumId w:val="5"/>
  </w:num>
  <w:num w:numId="10">
    <w:abstractNumId w:val="6"/>
  </w:num>
  <w:num w:numId="11">
    <w:abstractNumId w:val="7"/>
  </w:num>
  <w:num w:numId="12">
    <w:abstractNumId w:val="9"/>
  </w:num>
  <w:num w:numId="13">
    <w:abstractNumId w:val="1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24AF8"/>
    <w:rsid w:val="00026454"/>
    <w:rsid w:val="00042FB6"/>
    <w:rsid w:val="000459DA"/>
    <w:rsid w:val="00046F97"/>
    <w:rsid w:val="000565F0"/>
    <w:rsid w:val="000572D4"/>
    <w:rsid w:val="000610D9"/>
    <w:rsid w:val="00063B3C"/>
    <w:rsid w:val="00063DCF"/>
    <w:rsid w:val="00065E19"/>
    <w:rsid w:val="00074F24"/>
    <w:rsid w:val="0007564E"/>
    <w:rsid w:val="00085E94"/>
    <w:rsid w:val="0009053E"/>
    <w:rsid w:val="00094AB5"/>
    <w:rsid w:val="00097DA6"/>
    <w:rsid w:val="000A07C1"/>
    <w:rsid w:val="000A3EF6"/>
    <w:rsid w:val="000A520D"/>
    <w:rsid w:val="000A5C03"/>
    <w:rsid w:val="000B4333"/>
    <w:rsid w:val="000C3B82"/>
    <w:rsid w:val="000C7157"/>
    <w:rsid w:val="000D3430"/>
    <w:rsid w:val="000D5B92"/>
    <w:rsid w:val="000D7B47"/>
    <w:rsid w:val="000E4185"/>
    <w:rsid w:val="000E5EE6"/>
    <w:rsid w:val="000E683F"/>
    <w:rsid w:val="000F415E"/>
    <w:rsid w:val="0010182E"/>
    <w:rsid w:val="00107F5A"/>
    <w:rsid w:val="00110AB2"/>
    <w:rsid w:val="00126FDF"/>
    <w:rsid w:val="00155C89"/>
    <w:rsid w:val="001568F1"/>
    <w:rsid w:val="00160B58"/>
    <w:rsid w:val="001732E3"/>
    <w:rsid w:val="00182B5D"/>
    <w:rsid w:val="00183846"/>
    <w:rsid w:val="00186CAA"/>
    <w:rsid w:val="001959D0"/>
    <w:rsid w:val="001A1EB3"/>
    <w:rsid w:val="001A5978"/>
    <w:rsid w:val="001B35CC"/>
    <w:rsid w:val="001B3CEC"/>
    <w:rsid w:val="001B44F5"/>
    <w:rsid w:val="001B733C"/>
    <w:rsid w:val="001B7415"/>
    <w:rsid w:val="001C664A"/>
    <w:rsid w:val="001D265B"/>
    <w:rsid w:val="001E0731"/>
    <w:rsid w:val="001E33D9"/>
    <w:rsid w:val="001E6D1F"/>
    <w:rsid w:val="001E7F12"/>
    <w:rsid w:val="001F0106"/>
    <w:rsid w:val="001F7B9B"/>
    <w:rsid w:val="00200765"/>
    <w:rsid w:val="00204FC6"/>
    <w:rsid w:val="00210308"/>
    <w:rsid w:val="0021178D"/>
    <w:rsid w:val="002151E8"/>
    <w:rsid w:val="00217EC2"/>
    <w:rsid w:val="00223B91"/>
    <w:rsid w:val="002244B2"/>
    <w:rsid w:val="0023423F"/>
    <w:rsid w:val="002358D4"/>
    <w:rsid w:val="002503F3"/>
    <w:rsid w:val="002506D2"/>
    <w:rsid w:val="00252795"/>
    <w:rsid w:val="00253690"/>
    <w:rsid w:val="00256361"/>
    <w:rsid w:val="00263CDC"/>
    <w:rsid w:val="002670AC"/>
    <w:rsid w:val="00280C53"/>
    <w:rsid w:val="00281923"/>
    <w:rsid w:val="00283017"/>
    <w:rsid w:val="00286D5B"/>
    <w:rsid w:val="002968A5"/>
    <w:rsid w:val="002A3708"/>
    <w:rsid w:val="002C18EE"/>
    <w:rsid w:val="002C3017"/>
    <w:rsid w:val="002C63FF"/>
    <w:rsid w:val="002D55DE"/>
    <w:rsid w:val="002D664E"/>
    <w:rsid w:val="002E0C4C"/>
    <w:rsid w:val="002E61BE"/>
    <w:rsid w:val="002F2C5F"/>
    <w:rsid w:val="003020E5"/>
    <w:rsid w:val="00303999"/>
    <w:rsid w:val="00306B96"/>
    <w:rsid w:val="00306D68"/>
    <w:rsid w:val="00314F0B"/>
    <w:rsid w:val="003244A9"/>
    <w:rsid w:val="0033084C"/>
    <w:rsid w:val="0033462A"/>
    <w:rsid w:val="00344733"/>
    <w:rsid w:val="003455CD"/>
    <w:rsid w:val="0034778D"/>
    <w:rsid w:val="00352B7B"/>
    <w:rsid w:val="00357315"/>
    <w:rsid w:val="00363AFE"/>
    <w:rsid w:val="0037033D"/>
    <w:rsid w:val="0037599B"/>
    <w:rsid w:val="0038078D"/>
    <w:rsid w:val="003879CA"/>
    <w:rsid w:val="003A23CA"/>
    <w:rsid w:val="003B17E3"/>
    <w:rsid w:val="003B48CC"/>
    <w:rsid w:val="003B5B0B"/>
    <w:rsid w:val="003C0F8E"/>
    <w:rsid w:val="003C1E63"/>
    <w:rsid w:val="003C397C"/>
    <w:rsid w:val="003C4B25"/>
    <w:rsid w:val="003D6316"/>
    <w:rsid w:val="00404FE7"/>
    <w:rsid w:val="004118D4"/>
    <w:rsid w:val="00436439"/>
    <w:rsid w:val="004371E8"/>
    <w:rsid w:val="00467EEC"/>
    <w:rsid w:val="0047045E"/>
    <w:rsid w:val="00477DD2"/>
    <w:rsid w:val="00485E97"/>
    <w:rsid w:val="004A58C3"/>
    <w:rsid w:val="004B0504"/>
    <w:rsid w:val="004B34F9"/>
    <w:rsid w:val="004B447D"/>
    <w:rsid w:val="004B7B3B"/>
    <w:rsid w:val="004C35A6"/>
    <w:rsid w:val="004C4E7F"/>
    <w:rsid w:val="004C723B"/>
    <w:rsid w:val="004C7606"/>
    <w:rsid w:val="004E550E"/>
    <w:rsid w:val="004E57BB"/>
    <w:rsid w:val="004F65D8"/>
    <w:rsid w:val="00507E3A"/>
    <w:rsid w:val="00525AE9"/>
    <w:rsid w:val="00530957"/>
    <w:rsid w:val="005324AA"/>
    <w:rsid w:val="00541B2B"/>
    <w:rsid w:val="00544F06"/>
    <w:rsid w:val="005477F4"/>
    <w:rsid w:val="00547D6C"/>
    <w:rsid w:val="005564BE"/>
    <w:rsid w:val="0057103E"/>
    <w:rsid w:val="005772C1"/>
    <w:rsid w:val="005802DB"/>
    <w:rsid w:val="00591101"/>
    <w:rsid w:val="005C5A13"/>
    <w:rsid w:val="005C5F1C"/>
    <w:rsid w:val="005D39F1"/>
    <w:rsid w:val="005D4F3D"/>
    <w:rsid w:val="005E36FB"/>
    <w:rsid w:val="00615E1B"/>
    <w:rsid w:val="00615E4A"/>
    <w:rsid w:val="0063053D"/>
    <w:rsid w:val="0063302B"/>
    <w:rsid w:val="00654923"/>
    <w:rsid w:val="0067543D"/>
    <w:rsid w:val="00680788"/>
    <w:rsid w:val="00686C7F"/>
    <w:rsid w:val="00697A05"/>
    <w:rsid w:val="006B178C"/>
    <w:rsid w:val="006B6D53"/>
    <w:rsid w:val="006D3FAB"/>
    <w:rsid w:val="006D49AB"/>
    <w:rsid w:val="006D6987"/>
    <w:rsid w:val="006D6B62"/>
    <w:rsid w:val="007020CD"/>
    <w:rsid w:val="00704347"/>
    <w:rsid w:val="00713535"/>
    <w:rsid w:val="007213FE"/>
    <w:rsid w:val="00730809"/>
    <w:rsid w:val="00732623"/>
    <w:rsid w:val="00741740"/>
    <w:rsid w:val="00743E32"/>
    <w:rsid w:val="007542BD"/>
    <w:rsid w:val="00754361"/>
    <w:rsid w:val="00766939"/>
    <w:rsid w:val="007679D8"/>
    <w:rsid w:val="00775109"/>
    <w:rsid w:val="00777B88"/>
    <w:rsid w:val="00787461"/>
    <w:rsid w:val="00792E84"/>
    <w:rsid w:val="0079332F"/>
    <w:rsid w:val="0079544F"/>
    <w:rsid w:val="00795D6C"/>
    <w:rsid w:val="007E1B9A"/>
    <w:rsid w:val="007E4E67"/>
    <w:rsid w:val="007F00B4"/>
    <w:rsid w:val="00800BFD"/>
    <w:rsid w:val="00800F27"/>
    <w:rsid w:val="008108A4"/>
    <w:rsid w:val="00812EEC"/>
    <w:rsid w:val="00822703"/>
    <w:rsid w:val="00825C2F"/>
    <w:rsid w:val="00826633"/>
    <w:rsid w:val="00826DF5"/>
    <w:rsid w:val="00842D61"/>
    <w:rsid w:val="008603AA"/>
    <w:rsid w:val="00864A84"/>
    <w:rsid w:val="0087517C"/>
    <w:rsid w:val="008817AA"/>
    <w:rsid w:val="00882262"/>
    <w:rsid w:val="008A38BB"/>
    <w:rsid w:val="008B4C41"/>
    <w:rsid w:val="008C3986"/>
    <w:rsid w:val="008D4524"/>
    <w:rsid w:val="008E05EA"/>
    <w:rsid w:val="008E0908"/>
    <w:rsid w:val="008E1791"/>
    <w:rsid w:val="008E2B36"/>
    <w:rsid w:val="008E6250"/>
    <w:rsid w:val="008E776D"/>
    <w:rsid w:val="008F0F0C"/>
    <w:rsid w:val="00944022"/>
    <w:rsid w:val="00944A60"/>
    <w:rsid w:val="00945849"/>
    <w:rsid w:val="00953C16"/>
    <w:rsid w:val="00960D56"/>
    <w:rsid w:val="009A3355"/>
    <w:rsid w:val="009A5322"/>
    <w:rsid w:val="009B4D4D"/>
    <w:rsid w:val="009B61AD"/>
    <w:rsid w:val="009C2C67"/>
    <w:rsid w:val="009D2917"/>
    <w:rsid w:val="009D4D73"/>
    <w:rsid w:val="009E2D37"/>
    <w:rsid w:val="009E72CB"/>
    <w:rsid w:val="009F1022"/>
    <w:rsid w:val="009F50FF"/>
    <w:rsid w:val="009F6F3C"/>
    <w:rsid w:val="00A00E73"/>
    <w:rsid w:val="00A22628"/>
    <w:rsid w:val="00A23DED"/>
    <w:rsid w:val="00A23E5A"/>
    <w:rsid w:val="00A25FB8"/>
    <w:rsid w:val="00A27ABA"/>
    <w:rsid w:val="00A71C17"/>
    <w:rsid w:val="00A868EC"/>
    <w:rsid w:val="00A874DC"/>
    <w:rsid w:val="00A912BE"/>
    <w:rsid w:val="00A92047"/>
    <w:rsid w:val="00AA7BDC"/>
    <w:rsid w:val="00AB3D99"/>
    <w:rsid w:val="00AB5EB1"/>
    <w:rsid w:val="00AC2C21"/>
    <w:rsid w:val="00AC7582"/>
    <w:rsid w:val="00AD3254"/>
    <w:rsid w:val="00AD52A9"/>
    <w:rsid w:val="00B12B60"/>
    <w:rsid w:val="00B15D31"/>
    <w:rsid w:val="00B176ED"/>
    <w:rsid w:val="00B442B6"/>
    <w:rsid w:val="00B508AD"/>
    <w:rsid w:val="00B52937"/>
    <w:rsid w:val="00B56E89"/>
    <w:rsid w:val="00B5781C"/>
    <w:rsid w:val="00B6042D"/>
    <w:rsid w:val="00B67F7F"/>
    <w:rsid w:val="00B773EE"/>
    <w:rsid w:val="00B81252"/>
    <w:rsid w:val="00B8421F"/>
    <w:rsid w:val="00B93C6A"/>
    <w:rsid w:val="00BA1900"/>
    <w:rsid w:val="00BA6EAA"/>
    <w:rsid w:val="00BB7B01"/>
    <w:rsid w:val="00BD132D"/>
    <w:rsid w:val="00BD2729"/>
    <w:rsid w:val="00BD7FC8"/>
    <w:rsid w:val="00C1370A"/>
    <w:rsid w:val="00C160B2"/>
    <w:rsid w:val="00C161A9"/>
    <w:rsid w:val="00C21367"/>
    <w:rsid w:val="00C234BD"/>
    <w:rsid w:val="00C26F14"/>
    <w:rsid w:val="00C27A1A"/>
    <w:rsid w:val="00C36811"/>
    <w:rsid w:val="00C37689"/>
    <w:rsid w:val="00C43DBE"/>
    <w:rsid w:val="00C74324"/>
    <w:rsid w:val="00C77415"/>
    <w:rsid w:val="00C800AF"/>
    <w:rsid w:val="00C803FD"/>
    <w:rsid w:val="00C811F6"/>
    <w:rsid w:val="00C81A47"/>
    <w:rsid w:val="00C84977"/>
    <w:rsid w:val="00C96916"/>
    <w:rsid w:val="00CD3BA3"/>
    <w:rsid w:val="00CD5309"/>
    <w:rsid w:val="00CD7D43"/>
    <w:rsid w:val="00CE5FA2"/>
    <w:rsid w:val="00CE61AF"/>
    <w:rsid w:val="00D0068F"/>
    <w:rsid w:val="00D11DED"/>
    <w:rsid w:val="00D12409"/>
    <w:rsid w:val="00D24BC6"/>
    <w:rsid w:val="00D27313"/>
    <w:rsid w:val="00D620D0"/>
    <w:rsid w:val="00D65E3C"/>
    <w:rsid w:val="00D67AB7"/>
    <w:rsid w:val="00D8081F"/>
    <w:rsid w:val="00D961DE"/>
    <w:rsid w:val="00DB5CDB"/>
    <w:rsid w:val="00DC2C9D"/>
    <w:rsid w:val="00DE45E9"/>
    <w:rsid w:val="00DE72BD"/>
    <w:rsid w:val="00DF613F"/>
    <w:rsid w:val="00E0645E"/>
    <w:rsid w:val="00E06748"/>
    <w:rsid w:val="00E16B5A"/>
    <w:rsid w:val="00E230E5"/>
    <w:rsid w:val="00E34B27"/>
    <w:rsid w:val="00E4540E"/>
    <w:rsid w:val="00E53521"/>
    <w:rsid w:val="00E57768"/>
    <w:rsid w:val="00E7162D"/>
    <w:rsid w:val="00E72A2E"/>
    <w:rsid w:val="00E82C79"/>
    <w:rsid w:val="00E866F1"/>
    <w:rsid w:val="00E870C2"/>
    <w:rsid w:val="00E92A1D"/>
    <w:rsid w:val="00EB3681"/>
    <w:rsid w:val="00EC4E46"/>
    <w:rsid w:val="00ED0C86"/>
    <w:rsid w:val="00ED4513"/>
    <w:rsid w:val="00ED5FE7"/>
    <w:rsid w:val="00ED6F42"/>
    <w:rsid w:val="00ED785A"/>
    <w:rsid w:val="00ED79E6"/>
    <w:rsid w:val="00EE784F"/>
    <w:rsid w:val="00EF1BC6"/>
    <w:rsid w:val="00EF4EDA"/>
    <w:rsid w:val="00F03EFB"/>
    <w:rsid w:val="00F07999"/>
    <w:rsid w:val="00F17162"/>
    <w:rsid w:val="00F426AA"/>
    <w:rsid w:val="00F56A97"/>
    <w:rsid w:val="00F77056"/>
    <w:rsid w:val="00F82E56"/>
    <w:rsid w:val="00F90345"/>
    <w:rsid w:val="00F94661"/>
    <w:rsid w:val="00FA7638"/>
    <w:rsid w:val="00FD41CE"/>
    <w:rsid w:val="00FE4BC9"/>
    <w:rsid w:val="00FF049E"/>
    <w:rsid w:val="00FF11A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EC2BE8-3553-45E7-B0AB-EB3086F7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1"/>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table" w:styleId="TableGrid">
    <w:name w:val="Table Grid"/>
    <w:basedOn w:val="TableNormal"/>
    <w:rsid w:val="00C9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5477F4"/>
    <w:pPr>
      <w:jc w:val="left"/>
    </w:pPr>
    <w:rPr>
      <w:rFonts w:cs="Arial"/>
      <w:szCs w:val="20"/>
    </w:rPr>
  </w:style>
  <w:style w:type="paragraph" w:customStyle="1" w:styleId="Question">
    <w:name w:val="Question"/>
    <w:basedOn w:val="Normal"/>
    <w:rsid w:val="002C63FF"/>
    <w:pPr>
      <w:numPr>
        <w:numId w:val="2"/>
      </w:numPr>
      <w:spacing w:before="240" w:after="120"/>
      <w:jc w:val="left"/>
    </w:pPr>
    <w:rPr>
      <w:rFonts w:ascii="Times New Roman" w:hAnsi="Times New Roman" w:cs="Arial Unicode MS"/>
    </w:rPr>
  </w:style>
  <w:style w:type="paragraph" w:customStyle="1" w:styleId="Answer">
    <w:name w:val="Answer"/>
    <w:basedOn w:val="Question"/>
    <w:rsid w:val="002C63FF"/>
    <w:pPr>
      <w:numPr>
        <w:numId w:val="0"/>
      </w:numPr>
      <w:ind w:left="360"/>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cc.ligo.org/LIGO-G14013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c.ligo.org/LIGO-G14013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G14013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cc.ligo.org/LIGO-G1401337" TargetMode="External"/><Relationship Id="rId4" Type="http://schemas.openxmlformats.org/officeDocument/2006/relationships/settings" Target="settings.xml"/><Relationship Id="rId9" Type="http://schemas.openxmlformats.org/officeDocument/2006/relationships/hyperlink" Target="https://dcc.ligo.org/LIGO-T14007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CF64-A9EC-4C2F-AC1A-4B1EC399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Coyne</dc:creator>
  <cp:lastModifiedBy>coyne</cp:lastModifiedBy>
  <cp:revision>2</cp:revision>
  <cp:lastPrinted>2014-12-19T00:55:00Z</cp:lastPrinted>
  <dcterms:created xsi:type="dcterms:W3CDTF">2015-01-13T18:24:00Z</dcterms:created>
  <dcterms:modified xsi:type="dcterms:W3CDTF">2015-01-13T18:24:00Z</dcterms:modified>
</cp:coreProperties>
</file>