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9"/>
        <w:gridCol w:w="2090"/>
        <w:gridCol w:w="1749"/>
        <w:gridCol w:w="3749"/>
        <w:gridCol w:w="7"/>
      </w:tblGrid>
      <w:tr w:rsidR="009D3540" w:rsidTr="00EE11FB">
        <w:trPr>
          <w:gridAfter w:val="1"/>
          <w:wAfter w:w="7" w:type="dxa"/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FF3D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FF3D71">
              <w:rPr>
                <w:b/>
                <w:bCs/>
                <w:sz w:val="32"/>
              </w:rPr>
              <w:t>5-Channel Filter for ESD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976FD9" w:rsidP="00FF3D71">
            <w:pPr>
              <w:pStyle w:val="Heading2"/>
            </w:pPr>
            <w:r>
              <w:t>DCC No:  E1</w:t>
            </w:r>
            <w:r w:rsidR="00FF3D71">
              <w:t>500164</w:t>
            </w:r>
            <w:r>
              <w:t>-v</w:t>
            </w:r>
            <w:r w:rsidR="001C7856">
              <w:t>1</w:t>
            </w:r>
          </w:p>
        </w:tc>
      </w:tr>
      <w:tr w:rsidR="009D3540" w:rsidTr="00EE11FB">
        <w:trPr>
          <w:gridAfter w:val="1"/>
          <w:wAfter w:w="7" w:type="dxa"/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FF3D71">
            <w:pPr>
              <w:pStyle w:val="Heading2"/>
            </w:pPr>
            <w:r>
              <w:t xml:space="preserve">Date: </w:t>
            </w:r>
            <w:r w:rsidR="00FF3D71">
              <w:t>6 March 2015</w:t>
            </w:r>
          </w:p>
        </w:tc>
      </w:tr>
      <w:tr w:rsidR="00CD154B" w:rsidTr="00EE11FB">
        <w:trPr>
          <w:gridAfter w:val="1"/>
          <w:wAfter w:w="7" w:type="dxa"/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B1415E">
              <w:rPr>
                <w:b/>
                <w:bCs/>
                <w:sz w:val="28"/>
              </w:rPr>
              <w:t>Richard Abbott</w:t>
            </w:r>
            <w:r w:rsidR="001C7856">
              <w:rPr>
                <w:b/>
                <w:bCs/>
                <w:sz w:val="28"/>
              </w:rPr>
              <w:t xml:space="preserve">, 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B1415E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B1415E">
              <w:rPr>
                <w:b/>
                <w:bCs/>
                <w:sz w:val="28"/>
              </w:rPr>
              <w:t>ISC</w:t>
            </w:r>
            <w:r w:rsidR="00C018D9">
              <w:rPr>
                <w:b/>
                <w:bCs/>
                <w:sz w:val="28"/>
              </w:rPr>
              <w:t xml:space="preserve"> SUS</w:t>
            </w:r>
            <w:r w:rsidR="00E95510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5"/>
          </w:tcPr>
          <w:p w:rsidR="00A165BD" w:rsidRDefault="009D3540" w:rsidP="00DC210E">
            <w:pPr>
              <w:jc w:val="both"/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FF3D71">
              <w:t>A circuit board (D1500113) has been designed to provide filtering to the high voltage drive signals sent to the Electrostatic Drive actuation points in order to provide the following enhanced functionality</w:t>
            </w:r>
            <w:proofErr w:type="gramStart"/>
            <w:r w:rsidR="00FF3D71">
              <w:t>:</w:t>
            </w:r>
            <w:proofErr w:type="gramEnd"/>
            <w:r w:rsidR="00FF3D71">
              <w:br/>
              <w:t>1. Single stage filtration of each quadrant signal consisting of a pole-zero RC filter to enhance dynamic range while providing sufficient filtration</w:t>
            </w:r>
            <w:r w:rsidR="00FF3D71">
              <w:br/>
              <w:t xml:space="preserve">2. A rescaling of the RC ratio such that the filters present a higher impedance to the ESD amplifier in order </w:t>
            </w:r>
            <w:r w:rsidR="007575E2">
              <w:t xml:space="preserve">to reduce the transient current </w:t>
            </w:r>
            <w:r w:rsidR="00FF3D71">
              <w:t>flow that has caused trips in the ESD amplifier voltage monitoring function.</w:t>
            </w:r>
            <w:r w:rsidR="00FF3D71">
              <w:br/>
              <w:t>3. Inclusion of the 10k series resistor presently used for current limiting in the event of an in-vacuum discharge. This permits better packaging.</w:t>
            </w:r>
          </w:p>
          <w:p w:rsidR="00FF3D71" w:rsidRPr="00FC6DA3" w:rsidRDefault="00FF3D71" w:rsidP="00DC210E">
            <w:pPr>
              <w:jc w:val="both"/>
              <w:rPr>
                <w:b/>
                <w:bCs/>
                <w:sz w:val="24"/>
              </w:rPr>
            </w:pPr>
            <w:r>
              <w:t>This filter would be installed in the cable tray up by the vacuum feedthrough presently used for ESD.  The existing 10k resistor box would be replaced with this new design.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5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D154B" w:rsidRPr="00ED2910" w:rsidRDefault="00FF3D71" w:rsidP="00DC210E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Excess noise on the existing ESD high voltage amplifiers is too high.  The bias path can be heavily filtered as this path is not part of a closed loop feedback system.  The individual quadrant paths still require filtration, but would benefit from preservation of dynamic range by inclusion of a zero in the filter function.  The proposed design would supply these functions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5"/>
          </w:tcPr>
          <w:p w:rsidR="009D3540" w:rsidRPr="00DC2B45" w:rsidRDefault="009D3540" w:rsidP="00FF3D71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DC2B45">
              <w:rPr>
                <w:b/>
                <w:bCs/>
                <w:sz w:val="24"/>
              </w:rPr>
              <w:t xml:space="preserve"> </w:t>
            </w:r>
            <w:r w:rsidR="00FF3D71">
              <w:rPr>
                <w:bCs/>
                <w:sz w:val="24"/>
              </w:rPr>
              <w:t>A total of 5 units are to be built.  The estimated cost per unit is $500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5"/>
          </w:tcPr>
          <w:p w:rsidR="009D3540" w:rsidRDefault="009D3540" w:rsidP="007575E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E95510">
              <w:rPr>
                <w:b/>
                <w:bCs/>
                <w:sz w:val="24"/>
              </w:rPr>
              <w:t xml:space="preserve"> </w:t>
            </w:r>
            <w:r w:rsidR="00DC210E">
              <w:rPr>
                <w:bCs/>
                <w:sz w:val="24"/>
              </w:rPr>
              <w:t>There</w:t>
            </w:r>
            <w:bookmarkStart w:id="0" w:name="_GoBack"/>
            <w:bookmarkEnd w:id="0"/>
            <w:r w:rsidR="00DC210E">
              <w:rPr>
                <w:bCs/>
                <w:sz w:val="24"/>
              </w:rPr>
              <w:t xml:space="preserve"> is no predicted impact to schedule other than freeing individuals from other tasks to participate in this </w:t>
            </w:r>
            <w:r w:rsidR="007575E2">
              <w:rPr>
                <w:bCs/>
                <w:sz w:val="24"/>
              </w:rPr>
              <w:t>change</w:t>
            </w:r>
            <w:r w:rsidR="00DC210E">
              <w:rPr>
                <w:bCs/>
                <w:sz w:val="24"/>
              </w:rPr>
              <w:t>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bookmarkEnd w:id="2"/>
          <w:p w:rsidR="009D3540" w:rsidRDefault="00FF3D7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3"/>
          </w:tcPr>
          <w:p w:rsidR="009D3540" w:rsidRDefault="00B1415E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FF3D71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B1415E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3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>esirable by date/event: _</w:t>
            </w:r>
            <w:r w:rsidR="0016699B">
              <w:rPr>
                <w:b/>
                <w:bCs/>
              </w:rPr>
              <w:t xml:space="preserve">before </w:t>
            </w:r>
            <w:r w:rsidR="00B1415E">
              <w:rPr>
                <w:b/>
                <w:bCs/>
              </w:rPr>
              <w:t>final acceptance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E7526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421D2">
              <w:rPr>
                <w:b/>
                <w:bCs/>
              </w:rPr>
            </w:r>
            <w:r w:rsidR="005421D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3"/>
          </w:tcPr>
          <w:p w:rsidR="004E060A" w:rsidRDefault="00E2420A" w:rsidP="006130A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Impacted Documentation </w:t>
            </w:r>
            <w:r w:rsidR="006130A5">
              <w:rPr>
                <w:bCs/>
                <w:sz w:val="24"/>
              </w:rPr>
              <w:t>D1400177-v2 will have to be updated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5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 w:rsidR="008A4556">
              <w:rPr>
                <w:bCs/>
                <w:sz w:val="24"/>
              </w:rPr>
              <w:t xml:space="preserve">number </w:t>
            </w:r>
            <w:r w:rsidR="008A4556" w:rsidRPr="008140C8">
              <w:rPr>
                <w:bCs/>
                <w:sz w:val="24"/>
              </w:rPr>
              <w:t>for</w:t>
            </w:r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D2" w:rsidRDefault="005421D2">
      <w:r>
        <w:separator/>
      </w:r>
    </w:p>
  </w:endnote>
  <w:endnote w:type="continuationSeparator" w:id="0">
    <w:p w:rsidR="005421D2" w:rsidRDefault="0054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10" w:rsidRDefault="00E95510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E95510" w:rsidRDefault="00E95510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5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75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D2" w:rsidRDefault="005421D2">
      <w:r>
        <w:separator/>
      </w:r>
    </w:p>
  </w:footnote>
  <w:footnote w:type="continuationSeparator" w:id="0">
    <w:p w:rsidR="005421D2" w:rsidRDefault="0054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10" w:rsidRDefault="00E95510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258D1"/>
    <w:rsid w:val="0004514C"/>
    <w:rsid w:val="00080B8A"/>
    <w:rsid w:val="000B3C94"/>
    <w:rsid w:val="000C5D30"/>
    <w:rsid w:val="000D037E"/>
    <w:rsid w:val="000F28F5"/>
    <w:rsid w:val="000F72C7"/>
    <w:rsid w:val="0010552D"/>
    <w:rsid w:val="00113380"/>
    <w:rsid w:val="00137A9D"/>
    <w:rsid w:val="00141068"/>
    <w:rsid w:val="0016699B"/>
    <w:rsid w:val="00167341"/>
    <w:rsid w:val="001A29EC"/>
    <w:rsid w:val="001B53CE"/>
    <w:rsid w:val="001C7856"/>
    <w:rsid w:val="001E07EE"/>
    <w:rsid w:val="001F6124"/>
    <w:rsid w:val="0020792C"/>
    <w:rsid w:val="002272EC"/>
    <w:rsid w:val="00273A2E"/>
    <w:rsid w:val="002C54DE"/>
    <w:rsid w:val="002D78D1"/>
    <w:rsid w:val="002E6464"/>
    <w:rsid w:val="0030465C"/>
    <w:rsid w:val="00311009"/>
    <w:rsid w:val="00321067"/>
    <w:rsid w:val="003648F8"/>
    <w:rsid w:val="003656D0"/>
    <w:rsid w:val="003A51D0"/>
    <w:rsid w:val="003F0BDF"/>
    <w:rsid w:val="00401DDF"/>
    <w:rsid w:val="004165FE"/>
    <w:rsid w:val="004470AF"/>
    <w:rsid w:val="00453C97"/>
    <w:rsid w:val="0047123C"/>
    <w:rsid w:val="00472C7F"/>
    <w:rsid w:val="00476D34"/>
    <w:rsid w:val="004914C5"/>
    <w:rsid w:val="00495FD6"/>
    <w:rsid w:val="004A58A7"/>
    <w:rsid w:val="004B08CC"/>
    <w:rsid w:val="004B0FC3"/>
    <w:rsid w:val="004C0BD5"/>
    <w:rsid w:val="004C17F0"/>
    <w:rsid w:val="004C74C3"/>
    <w:rsid w:val="004D4EB2"/>
    <w:rsid w:val="004E060A"/>
    <w:rsid w:val="0051372F"/>
    <w:rsid w:val="005421D2"/>
    <w:rsid w:val="0054503B"/>
    <w:rsid w:val="00550D0E"/>
    <w:rsid w:val="005525BA"/>
    <w:rsid w:val="00572CDF"/>
    <w:rsid w:val="005B6BEB"/>
    <w:rsid w:val="005C4F39"/>
    <w:rsid w:val="005D269B"/>
    <w:rsid w:val="005E5ECA"/>
    <w:rsid w:val="00612485"/>
    <w:rsid w:val="006130A5"/>
    <w:rsid w:val="006237FE"/>
    <w:rsid w:val="006529F8"/>
    <w:rsid w:val="006B3D49"/>
    <w:rsid w:val="006B53B5"/>
    <w:rsid w:val="006F0D7C"/>
    <w:rsid w:val="00701F34"/>
    <w:rsid w:val="00712CDA"/>
    <w:rsid w:val="00742B0A"/>
    <w:rsid w:val="00745823"/>
    <w:rsid w:val="00754742"/>
    <w:rsid w:val="007575E2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A4556"/>
    <w:rsid w:val="008C1FD7"/>
    <w:rsid w:val="008E3244"/>
    <w:rsid w:val="0092199D"/>
    <w:rsid w:val="00955E29"/>
    <w:rsid w:val="00956B6B"/>
    <w:rsid w:val="00972D71"/>
    <w:rsid w:val="00976FD9"/>
    <w:rsid w:val="009B1D80"/>
    <w:rsid w:val="009B3AE7"/>
    <w:rsid w:val="009B4738"/>
    <w:rsid w:val="009D1015"/>
    <w:rsid w:val="009D3540"/>
    <w:rsid w:val="00A07772"/>
    <w:rsid w:val="00A165BD"/>
    <w:rsid w:val="00A4286A"/>
    <w:rsid w:val="00A74DDA"/>
    <w:rsid w:val="00A93C35"/>
    <w:rsid w:val="00AE3125"/>
    <w:rsid w:val="00AE5539"/>
    <w:rsid w:val="00B002A3"/>
    <w:rsid w:val="00B1415E"/>
    <w:rsid w:val="00B70005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018D9"/>
    <w:rsid w:val="00C33660"/>
    <w:rsid w:val="00C37F2D"/>
    <w:rsid w:val="00C97C86"/>
    <w:rsid w:val="00CA6A85"/>
    <w:rsid w:val="00CC3C02"/>
    <w:rsid w:val="00CD154B"/>
    <w:rsid w:val="00CE0764"/>
    <w:rsid w:val="00D20FE1"/>
    <w:rsid w:val="00D35714"/>
    <w:rsid w:val="00D57DA7"/>
    <w:rsid w:val="00D67807"/>
    <w:rsid w:val="00D8405A"/>
    <w:rsid w:val="00D8796D"/>
    <w:rsid w:val="00D9233A"/>
    <w:rsid w:val="00D92ED9"/>
    <w:rsid w:val="00DA0E09"/>
    <w:rsid w:val="00DB64DF"/>
    <w:rsid w:val="00DC210E"/>
    <w:rsid w:val="00DC2B45"/>
    <w:rsid w:val="00DD6817"/>
    <w:rsid w:val="00DE3003"/>
    <w:rsid w:val="00E00F68"/>
    <w:rsid w:val="00E0690D"/>
    <w:rsid w:val="00E22F0E"/>
    <w:rsid w:val="00E2420A"/>
    <w:rsid w:val="00E26299"/>
    <w:rsid w:val="00E52A46"/>
    <w:rsid w:val="00E56C04"/>
    <w:rsid w:val="00E654A8"/>
    <w:rsid w:val="00E704E9"/>
    <w:rsid w:val="00E75262"/>
    <w:rsid w:val="00E83A54"/>
    <w:rsid w:val="00E90E9E"/>
    <w:rsid w:val="00E95510"/>
    <w:rsid w:val="00EA18A1"/>
    <w:rsid w:val="00EA6727"/>
    <w:rsid w:val="00EB40E1"/>
    <w:rsid w:val="00EB6C35"/>
    <w:rsid w:val="00ED2910"/>
    <w:rsid w:val="00ED7523"/>
    <w:rsid w:val="00EE11FB"/>
    <w:rsid w:val="00EF4265"/>
    <w:rsid w:val="00F82CFE"/>
    <w:rsid w:val="00F96F2B"/>
    <w:rsid w:val="00FA5321"/>
    <w:rsid w:val="00FD2030"/>
    <w:rsid w:val="00FD6C59"/>
    <w:rsid w:val="00FD7783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137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Rich Abbott</dc:creator>
  <cp:lastModifiedBy>Rich Abbott</cp:lastModifiedBy>
  <cp:revision>4</cp:revision>
  <cp:lastPrinted>2014-08-26T17:46:00Z</cp:lastPrinted>
  <dcterms:created xsi:type="dcterms:W3CDTF">2015-03-06T20:22:00Z</dcterms:created>
  <dcterms:modified xsi:type="dcterms:W3CDTF">2015-03-06T22:25:00Z</dcterms:modified>
</cp:coreProperties>
</file>