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9C075" w14:textId="77777777" w:rsidR="00753F77" w:rsidRDefault="00212A33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BB0080D" wp14:editId="1B31A414">
                <wp:simplePos x="0" y="0"/>
                <wp:positionH relativeFrom="column">
                  <wp:posOffset>-862965</wp:posOffset>
                </wp:positionH>
                <wp:positionV relativeFrom="paragraph">
                  <wp:posOffset>-687705</wp:posOffset>
                </wp:positionV>
                <wp:extent cx="2400300" cy="1092200"/>
                <wp:effectExtent l="0" t="0" r="0" b="0"/>
                <wp:wrapNone/>
                <wp:docPr id="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092200"/>
                          <a:chOff x="441" y="364"/>
                          <a:chExt cx="3780" cy="1720"/>
                        </a:xfrm>
                      </wpg:grpSpPr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41" y="364"/>
                            <a:ext cx="2304" cy="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4B2E8C" w14:textId="77777777" w:rsidR="00875136" w:rsidRDefault="0087513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6AA3418" wp14:editId="3A9D4AA5">
                                    <wp:extent cx="1270000" cy="955040"/>
                                    <wp:effectExtent l="0" t="0" r="0" b="10160"/>
                                    <wp:docPr id="2" name="Picture 2" descr="Ligo_Logo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Ligo_Log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0000" cy="9550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601" y="544"/>
                            <a:ext cx="162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B1E12B" w14:textId="77777777" w:rsidR="00875136" w:rsidRDefault="0087513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-67.9pt;margin-top:-54.1pt;width:189pt;height:86pt;z-index:251657728" coordorigin="441,364" coordsize="3780,17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8" o:spid="_x0000_s1027" type="#_x0000_t202" style="position:absolute;left:441;top:364;width:2304;height:1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<v:textbox>
                    <w:txbxContent>
                      <w:p w14:paraId="164B2E8C" w14:textId="77777777" w:rsidR="00875136" w:rsidRDefault="00875136">
                        <w:r>
                          <w:rPr>
                            <w:noProof/>
                          </w:rPr>
                          <w:drawing>
                            <wp:inline distT="0" distB="0" distL="0" distR="0" wp14:anchorId="36AA3418" wp14:editId="3A9D4AA5">
                              <wp:extent cx="1270000" cy="955040"/>
                              <wp:effectExtent l="0" t="0" r="0" b="10160"/>
                              <wp:docPr id="2" name="Picture 2" descr="Ligo_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Ligo_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0000" cy="9550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9" o:spid="_x0000_s1028" type="#_x0000_t202" style="position:absolute;left:2601;top:544;width:1620;height:1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<v:textbox>
                    <w:txbxContent>
                      <w:p w14:paraId="48B1E12B" w14:textId="77777777" w:rsidR="00875136" w:rsidRDefault="00875136"/>
                    </w:txbxContent>
                  </v:textbox>
                </v:shape>
              </v:group>
            </w:pict>
          </mc:Fallback>
        </mc:AlternateContent>
      </w:r>
      <w:r w:rsidR="003C6EE5">
        <w:tab/>
      </w:r>
      <w:r w:rsidR="003C6EE5">
        <w:tab/>
      </w:r>
      <w:r w:rsidR="003C6EE5">
        <w:tab/>
      </w:r>
      <w:r w:rsidR="003C6EE5">
        <w:tab/>
      </w:r>
      <w:r w:rsidR="003C6EE5">
        <w:tab/>
      </w:r>
      <w:r w:rsidR="003C6EE5">
        <w:tab/>
      </w:r>
      <w:r w:rsidR="003C6EE5">
        <w:tab/>
      </w:r>
    </w:p>
    <w:tbl>
      <w:tblPr>
        <w:tblW w:w="3600" w:type="dxa"/>
        <w:tblInd w:w="5778" w:type="dxa"/>
        <w:tblLook w:val="0000" w:firstRow="0" w:lastRow="0" w:firstColumn="0" w:lastColumn="0" w:noHBand="0" w:noVBand="0"/>
      </w:tblPr>
      <w:tblGrid>
        <w:gridCol w:w="1170"/>
        <w:gridCol w:w="2430"/>
      </w:tblGrid>
      <w:tr w:rsidR="00753F77" w14:paraId="59230312" w14:textId="77777777">
        <w:trPr>
          <w:trHeight w:val="314"/>
        </w:trPr>
        <w:tc>
          <w:tcPr>
            <w:tcW w:w="1170" w:type="dxa"/>
            <w:vAlign w:val="center"/>
          </w:tcPr>
          <w:p w14:paraId="5AC8FC94" w14:textId="77777777" w:rsidR="00753F77" w:rsidRPr="00570F0A" w:rsidRDefault="003C6EE5">
            <w:pPr>
              <w:jc w:val="right"/>
              <w:rPr>
                <w:szCs w:val="24"/>
              </w:rPr>
            </w:pPr>
            <w:r w:rsidRPr="00570F0A">
              <w:rPr>
                <w:szCs w:val="24"/>
              </w:rPr>
              <w:t>Date:</w:t>
            </w:r>
          </w:p>
        </w:tc>
        <w:tc>
          <w:tcPr>
            <w:tcW w:w="2430" w:type="dxa"/>
            <w:vAlign w:val="center"/>
          </w:tcPr>
          <w:p w14:paraId="6B8E9CD2" w14:textId="77777777" w:rsidR="00753F77" w:rsidRPr="00570F0A" w:rsidRDefault="003C6EE5">
            <w:pPr>
              <w:pStyle w:val="Style1"/>
              <w:rPr>
                <w:rFonts w:ascii="Times New Roman" w:hAnsi="Times New Roman"/>
                <w:szCs w:val="24"/>
              </w:rPr>
            </w:pPr>
            <w:r w:rsidRPr="00570F0A">
              <w:rPr>
                <w:rFonts w:ascii="Times New Roman" w:hAnsi="Times New Roman"/>
                <w:szCs w:val="24"/>
              </w:rPr>
              <w:fldChar w:fldCharType="begin"/>
            </w:r>
            <w:r w:rsidRPr="00570F0A">
              <w:rPr>
                <w:rFonts w:ascii="Times New Roman" w:hAnsi="Times New Roman"/>
                <w:szCs w:val="24"/>
              </w:rPr>
              <w:instrText xml:space="preserve"> TIME \@ "MMMM d, yyyy" </w:instrText>
            </w:r>
            <w:r w:rsidRPr="00570F0A">
              <w:rPr>
                <w:rFonts w:ascii="Times New Roman" w:hAnsi="Times New Roman"/>
                <w:szCs w:val="24"/>
              </w:rPr>
              <w:fldChar w:fldCharType="separate"/>
            </w:r>
            <w:r w:rsidR="00F447D3">
              <w:rPr>
                <w:rFonts w:ascii="Times New Roman" w:hAnsi="Times New Roman"/>
                <w:noProof/>
                <w:szCs w:val="24"/>
              </w:rPr>
              <w:t>April 28, 2015</w:t>
            </w:r>
            <w:r w:rsidRPr="00570F0A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753F77" w14:paraId="338C1185" w14:textId="77777777">
        <w:trPr>
          <w:trHeight w:val="332"/>
        </w:trPr>
        <w:tc>
          <w:tcPr>
            <w:tcW w:w="1170" w:type="dxa"/>
            <w:vAlign w:val="center"/>
          </w:tcPr>
          <w:p w14:paraId="2F39C133" w14:textId="4F4FE76E" w:rsidR="00753F77" w:rsidRPr="00570F0A" w:rsidRDefault="00026B7B">
            <w:pPr>
              <w:jc w:val="right"/>
              <w:rPr>
                <w:szCs w:val="24"/>
              </w:rPr>
            </w:pPr>
            <w:r w:rsidRPr="00570F0A">
              <w:rPr>
                <w:szCs w:val="24"/>
              </w:rPr>
              <w:t>Refer to</w:t>
            </w:r>
            <w:r w:rsidR="003C6EE5" w:rsidRPr="00570F0A">
              <w:rPr>
                <w:szCs w:val="24"/>
              </w:rPr>
              <w:t>:</w:t>
            </w:r>
          </w:p>
        </w:tc>
        <w:tc>
          <w:tcPr>
            <w:tcW w:w="2430" w:type="dxa"/>
            <w:vAlign w:val="center"/>
          </w:tcPr>
          <w:p w14:paraId="55B59E70" w14:textId="7BD346BE" w:rsidR="00753F77" w:rsidRPr="00B96094" w:rsidRDefault="00917F3B" w:rsidP="00516671">
            <w:pPr>
              <w:rPr>
                <w:szCs w:val="24"/>
              </w:rPr>
            </w:pPr>
            <w:r w:rsidRPr="00B96094">
              <w:rPr>
                <w:szCs w:val="24"/>
              </w:rPr>
              <w:t>LIGO-</w:t>
            </w:r>
            <w:r w:rsidR="00EA3304" w:rsidRPr="00B96094">
              <w:rPr>
                <w:bCs/>
                <w:szCs w:val="24"/>
              </w:rPr>
              <w:t>T1</w:t>
            </w:r>
            <w:r w:rsidR="00DD43A8" w:rsidRPr="00B96094">
              <w:rPr>
                <w:bCs/>
                <w:szCs w:val="24"/>
              </w:rPr>
              <w:t>5</w:t>
            </w:r>
            <w:r w:rsidR="00516671" w:rsidRPr="00B96094">
              <w:rPr>
                <w:bCs/>
                <w:szCs w:val="24"/>
              </w:rPr>
              <w:t>00202</w:t>
            </w:r>
            <w:r w:rsidR="003C6EE5" w:rsidRPr="00B96094">
              <w:rPr>
                <w:color w:val="333333"/>
                <w:szCs w:val="24"/>
              </w:rPr>
              <w:t>-v</w:t>
            </w:r>
            <w:r w:rsidR="009D5E4E" w:rsidRPr="00B96094">
              <w:rPr>
                <w:color w:val="333333"/>
                <w:szCs w:val="24"/>
              </w:rPr>
              <w:t>1</w:t>
            </w:r>
          </w:p>
        </w:tc>
      </w:tr>
    </w:tbl>
    <w:p w14:paraId="259D7692" w14:textId="77777777" w:rsidR="00753F77" w:rsidRDefault="00753F77">
      <w:pPr>
        <w:rPr>
          <w:rFonts w:ascii="Arial" w:hAnsi="Arial"/>
        </w:rPr>
      </w:pPr>
    </w:p>
    <w:p w14:paraId="2F453BCA" w14:textId="77777777" w:rsidR="007B7F9C" w:rsidRDefault="007B7F9C" w:rsidP="007B7F9C">
      <w:pPr>
        <w:rPr>
          <w:rFonts w:ascii="Times" w:hAnsi="Times"/>
        </w:rPr>
      </w:pPr>
      <w:r>
        <w:rPr>
          <w:rFonts w:ascii="Times" w:hAnsi="Times"/>
        </w:rPr>
        <w:t>From:</w:t>
      </w:r>
      <w:r>
        <w:rPr>
          <w:rFonts w:ascii="Times" w:hAnsi="Times"/>
        </w:rPr>
        <w:tab/>
      </w:r>
      <w:r>
        <w:rPr>
          <w:rFonts w:ascii="Times" w:hAnsi="Times"/>
        </w:rPr>
        <w:fldChar w:fldCharType="begin"/>
      </w:r>
      <w:r>
        <w:rPr>
          <w:rFonts w:ascii="Times" w:hAnsi="Times"/>
        </w:rPr>
        <w:instrText xml:space="preserve"> CONTACT _Con-438ABEED1 \c \s \l </w:instrText>
      </w:r>
      <w:r>
        <w:rPr>
          <w:rFonts w:ascii="Times" w:hAnsi="Times"/>
        </w:rPr>
        <w:fldChar w:fldCharType="separate"/>
      </w:r>
      <w:r>
        <w:rPr>
          <w:rFonts w:ascii="Times" w:hAnsi="Times"/>
          <w:noProof/>
        </w:rPr>
        <w:t>M. Zucker</w:t>
      </w:r>
      <w:r>
        <w:rPr>
          <w:rFonts w:ascii="Times" w:hAnsi="Times"/>
        </w:rPr>
        <w:fldChar w:fldCharType="end"/>
      </w:r>
      <w:r>
        <w:rPr>
          <w:rFonts w:ascii="Times" w:hAnsi="Times"/>
        </w:rPr>
        <w:t xml:space="preserve"> </w:t>
      </w:r>
    </w:p>
    <w:p w14:paraId="3F9A52E3" w14:textId="06182B35" w:rsidR="007B7F9C" w:rsidRDefault="00691EB6">
      <w:pPr>
        <w:rPr>
          <w:rFonts w:ascii="Times" w:hAnsi="Times"/>
        </w:rPr>
      </w:pPr>
      <w:r>
        <w:rPr>
          <w:rFonts w:ascii="Times" w:hAnsi="Times"/>
        </w:rPr>
        <w:t xml:space="preserve">To: </w:t>
      </w:r>
      <w:r>
        <w:rPr>
          <w:rFonts w:ascii="Times" w:hAnsi="Times"/>
        </w:rPr>
        <w:tab/>
      </w:r>
      <w:r w:rsidR="00A22D0C">
        <w:rPr>
          <w:rFonts w:ascii="Times" w:hAnsi="Times"/>
        </w:rPr>
        <w:t xml:space="preserve">LIGO </w:t>
      </w:r>
      <w:r w:rsidR="00570F0A">
        <w:rPr>
          <w:rFonts w:ascii="Times" w:hAnsi="Times"/>
        </w:rPr>
        <w:t>V</w:t>
      </w:r>
      <w:r w:rsidR="00A22D0C">
        <w:rPr>
          <w:rFonts w:ascii="Times" w:hAnsi="Times"/>
        </w:rPr>
        <w:t xml:space="preserve">acuum </w:t>
      </w:r>
      <w:r w:rsidR="00570F0A">
        <w:rPr>
          <w:rFonts w:ascii="Times" w:hAnsi="Times"/>
        </w:rPr>
        <w:t>R</w:t>
      </w:r>
      <w:r w:rsidR="00A22D0C">
        <w:rPr>
          <w:rFonts w:ascii="Times" w:hAnsi="Times"/>
        </w:rPr>
        <w:t xml:space="preserve">eview </w:t>
      </w:r>
      <w:r w:rsidR="00570F0A">
        <w:rPr>
          <w:rFonts w:ascii="Times" w:hAnsi="Times"/>
        </w:rPr>
        <w:t>B</w:t>
      </w:r>
      <w:r w:rsidR="00A22D0C">
        <w:rPr>
          <w:rFonts w:ascii="Times" w:hAnsi="Times"/>
        </w:rPr>
        <w:t>oard</w:t>
      </w:r>
    </w:p>
    <w:p w14:paraId="2D91108C" w14:textId="73E1B33F" w:rsidR="005012FC" w:rsidRDefault="007B7F9C" w:rsidP="005012FC">
      <w:pPr>
        <w:rPr>
          <w:rFonts w:ascii="Times" w:hAnsi="Times"/>
        </w:rPr>
      </w:pPr>
      <w:r>
        <w:rPr>
          <w:rFonts w:ascii="Times" w:hAnsi="Times"/>
        </w:rPr>
        <w:t xml:space="preserve">cc: </w:t>
      </w:r>
      <w:r>
        <w:rPr>
          <w:rFonts w:ascii="Times" w:hAnsi="Times"/>
        </w:rPr>
        <w:tab/>
        <w:t>H. Overm</w:t>
      </w:r>
      <w:r w:rsidR="005012FC">
        <w:rPr>
          <w:rFonts w:ascii="Times" w:hAnsi="Times"/>
        </w:rPr>
        <w:t xml:space="preserve">ier, K. Ryan, </w:t>
      </w:r>
      <w:r w:rsidR="004A1D9E">
        <w:rPr>
          <w:rFonts w:ascii="Times" w:hAnsi="Times"/>
        </w:rPr>
        <w:t xml:space="preserve">G. Moreno, </w:t>
      </w:r>
      <w:r w:rsidR="005012FC">
        <w:rPr>
          <w:rFonts w:ascii="Times" w:hAnsi="Times"/>
        </w:rPr>
        <w:t>J. Giaime, R. Oram</w:t>
      </w:r>
      <w:r w:rsidR="00EC3684">
        <w:rPr>
          <w:rFonts w:ascii="Times" w:hAnsi="Times"/>
        </w:rPr>
        <w:t>, A. Lazzarini, D. Reitze</w:t>
      </w:r>
    </w:p>
    <w:p w14:paraId="2F08BF52" w14:textId="29A27B23" w:rsidR="005012FC" w:rsidRPr="005012FC" w:rsidRDefault="003C6EE5" w:rsidP="005012FC">
      <w:pPr>
        <w:rPr>
          <w:rFonts w:ascii="Times" w:hAnsi="Times"/>
        </w:rPr>
      </w:pPr>
      <w:r>
        <w:rPr>
          <w:rFonts w:ascii="Times" w:hAnsi="Times"/>
        </w:rPr>
        <w:t xml:space="preserve">Re: </w:t>
      </w:r>
      <w:r>
        <w:rPr>
          <w:rFonts w:ascii="Times" w:hAnsi="Times"/>
        </w:rPr>
        <w:tab/>
      </w:r>
      <w:r w:rsidR="00F652A4">
        <w:rPr>
          <w:rFonts w:ascii="Times" w:hAnsi="Times"/>
          <w:b/>
          <w:szCs w:val="24"/>
        </w:rPr>
        <w:t xml:space="preserve">Optimization of </w:t>
      </w:r>
      <w:r w:rsidR="00AB6D08">
        <w:rPr>
          <w:rFonts w:ascii="Times" w:hAnsi="Times"/>
          <w:b/>
          <w:szCs w:val="24"/>
        </w:rPr>
        <w:t xml:space="preserve">beamtube </w:t>
      </w:r>
      <w:r w:rsidR="00F652A4">
        <w:rPr>
          <w:rFonts w:ascii="Times" w:hAnsi="Times"/>
          <w:b/>
          <w:szCs w:val="24"/>
        </w:rPr>
        <w:t>pumping to mitigate acquired water vapor</w:t>
      </w:r>
    </w:p>
    <w:p w14:paraId="0DE9E989" w14:textId="77777777" w:rsidR="00753F77" w:rsidRDefault="00753F77">
      <w:pPr>
        <w:pStyle w:val="RegPara"/>
      </w:pPr>
    </w:p>
    <w:p w14:paraId="08BE3A2C" w14:textId="75C0BC6A" w:rsidR="007B7F9C" w:rsidRDefault="00917F3B" w:rsidP="00DD43A8">
      <w:pPr>
        <w:pStyle w:val="RegPara"/>
        <w:jc w:val="both"/>
      </w:pPr>
      <w:r>
        <w:rPr>
          <w:b/>
        </w:rPr>
        <w:t>Abstract:</w:t>
      </w:r>
      <w:r w:rsidR="00D016AA">
        <w:t xml:space="preserve"> </w:t>
      </w:r>
      <w:r w:rsidR="00534B7C">
        <w:t xml:space="preserve">Water vapor </w:t>
      </w:r>
      <w:r w:rsidR="00614761">
        <w:t xml:space="preserve">ingested from </w:t>
      </w:r>
      <w:r w:rsidR="00534B7C">
        <w:t>2008 to 2012 appears to have increased th</w:t>
      </w:r>
      <w:r w:rsidR="00614761">
        <w:t xml:space="preserve">e LLO Y </w:t>
      </w:r>
      <w:r w:rsidR="00534B7C">
        <w:t>tube's outgassing</w:t>
      </w:r>
      <w:r w:rsidR="00F447D3">
        <w:t>,</w:t>
      </w:r>
      <w:r w:rsidR="00534B7C">
        <w:t xml:space="preserve"> </w:t>
      </w:r>
      <w:r w:rsidR="00F447D3">
        <w:t xml:space="preserve">slightly </w:t>
      </w:r>
      <w:bookmarkStart w:id="0" w:name="_GoBack"/>
      <w:bookmarkEnd w:id="0"/>
      <w:r w:rsidR="00B96094">
        <w:t>exceed</w:t>
      </w:r>
      <w:r w:rsidR="00F447D3">
        <w:t>ing</w:t>
      </w:r>
      <w:r w:rsidR="00614761">
        <w:t xml:space="preserve"> </w:t>
      </w:r>
      <w:r w:rsidR="00534B7C">
        <w:t>specifi</w:t>
      </w:r>
      <w:r w:rsidR="00F447D3">
        <w:t>ed limits</w:t>
      </w:r>
      <w:r w:rsidR="002D147E">
        <w:t>.  A fini</w:t>
      </w:r>
      <w:r w:rsidR="00614761">
        <w:t xml:space="preserve">te element diffusion model </w:t>
      </w:r>
      <w:r w:rsidR="00343333">
        <w:t>wa</w:t>
      </w:r>
      <w:r w:rsidR="00614761">
        <w:t>s us</w:t>
      </w:r>
      <w:r w:rsidR="002D147E">
        <w:t xml:space="preserve">ed to assess resulting gas </w:t>
      </w:r>
      <w:r w:rsidR="00614761">
        <w:t xml:space="preserve">index </w:t>
      </w:r>
      <w:r w:rsidR="002D147E">
        <w:t>phase</w:t>
      </w:r>
      <w:r w:rsidR="00343333">
        <w:t xml:space="preserve"> noise</w:t>
      </w:r>
      <w:r w:rsidR="002D147E">
        <w:t xml:space="preserve">. </w:t>
      </w:r>
      <w:r w:rsidR="00534B7C">
        <w:t xml:space="preserve"> </w:t>
      </w:r>
      <w:r w:rsidR="00343333">
        <w:t>The model</w:t>
      </w:r>
      <w:r w:rsidR="00C42791">
        <w:t xml:space="preserve"> </w:t>
      </w:r>
      <w:r w:rsidR="00D60F46">
        <w:t>highlighted</w:t>
      </w:r>
      <w:r w:rsidR="00C42791">
        <w:t xml:space="preserve"> a historical oversight </w:t>
      </w:r>
      <w:r w:rsidR="00D60F46">
        <w:t xml:space="preserve">leading to </w:t>
      </w:r>
      <w:r w:rsidR="00343333">
        <w:t xml:space="preserve">systematic </w:t>
      </w:r>
      <w:r w:rsidR="00D60F46">
        <w:t xml:space="preserve">noise </w:t>
      </w:r>
      <w:r w:rsidR="00343333">
        <w:t xml:space="preserve">underestimation in situations with substantial conduction gradients, </w:t>
      </w:r>
      <w:r w:rsidR="00D60F46">
        <w:t>such as</w:t>
      </w:r>
      <w:r w:rsidR="00343333">
        <w:t xml:space="preserve"> end-pumping of water vapor</w:t>
      </w:r>
      <w:r w:rsidR="00C42791">
        <w:t xml:space="preserve"> (the nominal default)</w:t>
      </w:r>
      <w:r w:rsidR="00343333">
        <w:t>. Th</w:t>
      </w:r>
      <w:r w:rsidR="00C42791">
        <w:t xml:space="preserve">e aLIGO configuration at LLO is </w:t>
      </w:r>
      <w:r w:rsidR="00343333">
        <w:t xml:space="preserve">especially vulnerable. A deployment of ion pumps is </w:t>
      </w:r>
      <w:r w:rsidR="00C42791">
        <w:t>found</w:t>
      </w:r>
      <w:r w:rsidR="00343333">
        <w:t xml:space="preserve"> to restore adequate noise margin.</w:t>
      </w:r>
    </w:p>
    <w:p w14:paraId="52227F90" w14:textId="77777777" w:rsidR="004F3214" w:rsidRDefault="004F3214" w:rsidP="00DD43A8">
      <w:pPr>
        <w:pStyle w:val="RegPara"/>
        <w:jc w:val="both"/>
      </w:pPr>
    </w:p>
    <w:p w14:paraId="083E3DA1" w14:textId="430439B3" w:rsidR="00D60F46" w:rsidRDefault="004F3214" w:rsidP="00DD43A8">
      <w:pPr>
        <w:pStyle w:val="RegPara"/>
        <w:jc w:val="both"/>
      </w:pPr>
      <w:r>
        <w:rPr>
          <w:b/>
        </w:rPr>
        <w:t>Introduction</w:t>
      </w:r>
      <w:r w:rsidRPr="006B029A">
        <w:rPr>
          <w:b/>
        </w:rPr>
        <w:t>:</w:t>
      </w:r>
      <w:r>
        <w:t xml:space="preserve"> </w:t>
      </w:r>
      <w:r w:rsidR="00F8027C">
        <w:t>Length-averaged b</w:t>
      </w:r>
      <w:r w:rsidR="00C45F7B">
        <w:t>eamtube</w:t>
      </w:r>
      <w:r w:rsidR="003C24EF">
        <w:t xml:space="preserve"> </w:t>
      </w:r>
      <w:r w:rsidR="00C45F7B">
        <w:t>water</w:t>
      </w:r>
      <w:r w:rsidR="00F8027C">
        <w:t xml:space="preserve"> vapor</w:t>
      </w:r>
      <w:r w:rsidR="00C45F7B">
        <w:t xml:space="preserve"> partial pressure </w:t>
      </w:r>
      <w:r w:rsidR="003C24EF">
        <w:t>was originally specified</w:t>
      </w:r>
      <w:r w:rsidR="003C24EF">
        <w:rPr>
          <w:rStyle w:val="FootnoteReference"/>
        </w:rPr>
        <w:footnoteReference w:id="1"/>
      </w:r>
      <w:r w:rsidR="00F8027C">
        <w:t xml:space="preserve"> </w:t>
      </w:r>
      <w:r w:rsidR="00C42791">
        <w:t>as</w:t>
      </w:r>
      <w:r w:rsidR="00F8027C">
        <w:t xml:space="preserve"> </w:t>
      </w:r>
      <w:r w:rsidR="00460929" w:rsidRPr="00460929">
        <w:rPr>
          <w:i/>
        </w:rPr>
        <w:t>&lt;P</w:t>
      </w:r>
      <w:r w:rsidR="002B71EC">
        <w:rPr>
          <w:i/>
        </w:rPr>
        <w:t>(H</w:t>
      </w:r>
      <w:r w:rsidR="002B71EC" w:rsidRPr="002B71EC">
        <w:rPr>
          <w:i/>
          <w:vertAlign w:val="subscript"/>
        </w:rPr>
        <w:t>2</w:t>
      </w:r>
      <w:r w:rsidR="002B71EC">
        <w:rPr>
          <w:i/>
        </w:rPr>
        <w:t>O)</w:t>
      </w:r>
      <w:r w:rsidR="00460929" w:rsidRPr="00460929">
        <w:rPr>
          <w:i/>
        </w:rPr>
        <w:t>&gt;</w:t>
      </w:r>
      <w:r w:rsidR="00460929" w:rsidRPr="00460929">
        <w:rPr>
          <w:i/>
          <w:vertAlign w:val="subscript"/>
        </w:rPr>
        <w:t>L</w:t>
      </w:r>
      <w:r w:rsidR="003C24EF">
        <w:t xml:space="preserve"> </w:t>
      </w:r>
      <w:r w:rsidR="00C205EF">
        <w:t xml:space="preserve">≤ </w:t>
      </w:r>
      <w:r w:rsidR="00E57F23">
        <w:t>10</w:t>
      </w:r>
      <w:r w:rsidR="00E57F23" w:rsidRPr="00E57F23">
        <w:rPr>
          <w:vertAlign w:val="superscript"/>
        </w:rPr>
        <w:t>-10</w:t>
      </w:r>
      <w:r w:rsidR="00E57F23">
        <w:t xml:space="preserve"> Torr. </w:t>
      </w:r>
      <w:r w:rsidR="00D60F46">
        <w:t xml:space="preserve">Measurements after each module bakeout indicated this </w:t>
      </w:r>
      <w:r w:rsidR="0078472C">
        <w:t>w</w:t>
      </w:r>
      <w:r w:rsidR="00D60F46">
        <w:t>ould be feasible without distributed pumping</w:t>
      </w:r>
      <w:r w:rsidR="00AB6D08">
        <w:t xml:space="preserve">. </w:t>
      </w:r>
    </w:p>
    <w:p w14:paraId="5F5DCF4C" w14:textId="77777777" w:rsidR="00D60F46" w:rsidRDefault="00D60F46" w:rsidP="00DD43A8">
      <w:pPr>
        <w:pStyle w:val="RegPara"/>
        <w:jc w:val="both"/>
      </w:pPr>
    </w:p>
    <w:p w14:paraId="5ADBC207" w14:textId="56CF0774" w:rsidR="00460929" w:rsidRPr="00460929" w:rsidRDefault="00460929" w:rsidP="00DD43A8">
      <w:pPr>
        <w:pStyle w:val="RegPara"/>
        <w:jc w:val="both"/>
        <w:rPr>
          <w:szCs w:val="24"/>
        </w:rPr>
      </w:pPr>
      <w:r w:rsidRPr="00460929">
        <w:rPr>
          <w:szCs w:val="24"/>
        </w:rPr>
        <w:t>With</w:t>
      </w:r>
      <w:r w:rsidR="00E57F23" w:rsidRPr="00460929">
        <w:rPr>
          <w:szCs w:val="24"/>
        </w:rPr>
        <w:t xml:space="preserve"> end-pumping only, </w:t>
      </w:r>
      <w:r w:rsidR="00C45F7B">
        <w:rPr>
          <w:szCs w:val="24"/>
        </w:rPr>
        <w:t>a</w:t>
      </w:r>
      <w:r w:rsidRPr="00460929">
        <w:rPr>
          <w:szCs w:val="24"/>
        </w:rPr>
        <w:t xml:space="preserve">verage pressure is </w:t>
      </w:r>
      <w:r w:rsidR="00C45F7B">
        <w:rPr>
          <w:szCs w:val="24"/>
        </w:rPr>
        <w:t>related to outgassing flux by</w:t>
      </w:r>
    </w:p>
    <w:p w14:paraId="06BE52E7" w14:textId="579BDCA0" w:rsidR="00C205EF" w:rsidRPr="00460929" w:rsidRDefault="00460929" w:rsidP="003613A8">
      <w:pPr>
        <w:rPr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P</m:t>
                  </m:r>
                  <m:r>
                    <w:rPr>
                      <w:rFonts w:ascii="Cambria Math" w:hAnsi="Cambria Math"/>
                      <w:szCs w:val="24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Cs w:val="24"/>
                    </w:rPr>
                    <m:t>O)</m:t>
                  </m:r>
                </m:e>
              </m:d>
            </m:e>
            <m:sub>
              <m:r>
                <w:rPr>
                  <w:rFonts w:ascii="Cambria Math" w:hAnsi="Cambria Math"/>
                  <w:szCs w:val="24"/>
                </w:rPr>
                <m:t>L</m:t>
              </m:r>
            </m:sub>
          </m:sSub>
          <m:r>
            <w:rPr>
              <w:rFonts w:ascii="Cambria Math" w:hAnsi="Cambria Math"/>
              <w:szCs w:val="24"/>
            </w:rPr>
            <m:t xml:space="preserve"> =Q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12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L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S</m:t>
                  </m:r>
                </m:den>
              </m:f>
            </m:e>
          </m:d>
        </m:oMath>
      </m:oMathPara>
    </w:p>
    <w:p w14:paraId="24D3B844" w14:textId="2DD59613" w:rsidR="00460929" w:rsidRDefault="00460929" w:rsidP="00877C2C">
      <w:pPr>
        <w:jc w:val="both"/>
        <w:rPr>
          <w:szCs w:val="24"/>
        </w:rPr>
      </w:pPr>
      <w:r w:rsidRPr="00460929">
        <w:rPr>
          <w:szCs w:val="24"/>
        </w:rPr>
        <w:t>where</w:t>
      </w:r>
      <w:r>
        <w:rPr>
          <w:szCs w:val="24"/>
        </w:rPr>
        <w:t xml:space="preserve"> </w:t>
      </w:r>
      <w:r w:rsidRPr="00460929">
        <w:rPr>
          <w:i/>
          <w:szCs w:val="24"/>
        </w:rPr>
        <w:t>Q = JA</w:t>
      </w:r>
      <w:r>
        <w:rPr>
          <w:i/>
          <w:szCs w:val="24"/>
        </w:rPr>
        <w:t xml:space="preserve"> </w:t>
      </w:r>
      <w:r>
        <w:rPr>
          <w:szCs w:val="24"/>
        </w:rPr>
        <w:t xml:space="preserve">is total </w:t>
      </w:r>
      <w:r w:rsidR="00C42791">
        <w:rPr>
          <w:szCs w:val="24"/>
        </w:rPr>
        <w:t xml:space="preserve">outgassed </w:t>
      </w:r>
      <w:r w:rsidR="00C205EF">
        <w:rPr>
          <w:szCs w:val="24"/>
        </w:rPr>
        <w:t xml:space="preserve">current due to </w:t>
      </w:r>
      <w:r w:rsidR="00D60F46">
        <w:rPr>
          <w:szCs w:val="24"/>
        </w:rPr>
        <w:t xml:space="preserve">uniform </w:t>
      </w:r>
      <w:r w:rsidR="00C205EF">
        <w:rPr>
          <w:szCs w:val="24"/>
        </w:rPr>
        <w:t xml:space="preserve">flux </w:t>
      </w:r>
      <w:r w:rsidR="00C205EF" w:rsidRPr="00C205EF">
        <w:rPr>
          <w:i/>
          <w:szCs w:val="24"/>
        </w:rPr>
        <w:t>J</w:t>
      </w:r>
      <w:r w:rsidR="00C205EF">
        <w:rPr>
          <w:szCs w:val="24"/>
        </w:rPr>
        <w:t xml:space="preserve">, </w:t>
      </w:r>
      <w:r w:rsidR="00C205EF" w:rsidRPr="00C205EF">
        <w:rPr>
          <w:i/>
          <w:szCs w:val="24"/>
        </w:rPr>
        <w:t>A</w:t>
      </w:r>
      <w:r w:rsidR="00C205EF">
        <w:rPr>
          <w:szCs w:val="24"/>
        </w:rPr>
        <w:t xml:space="preserve"> is the surface area</w:t>
      </w:r>
      <w:r w:rsidR="0078472C">
        <w:rPr>
          <w:szCs w:val="24"/>
        </w:rPr>
        <w:t xml:space="preserve"> (1.57x</w:t>
      </w:r>
      <w:r w:rsidR="003C24EF">
        <w:rPr>
          <w:szCs w:val="24"/>
        </w:rPr>
        <w:t>10</w:t>
      </w:r>
      <w:r w:rsidR="003C24EF" w:rsidRPr="003C24EF">
        <w:rPr>
          <w:szCs w:val="24"/>
          <w:vertAlign w:val="superscript"/>
        </w:rPr>
        <w:t>8</w:t>
      </w:r>
      <w:r w:rsidR="003C24EF">
        <w:rPr>
          <w:szCs w:val="24"/>
        </w:rPr>
        <w:t xml:space="preserve"> cm</w:t>
      </w:r>
      <w:r w:rsidR="003C24EF" w:rsidRPr="003C24EF">
        <w:rPr>
          <w:szCs w:val="24"/>
          <w:vertAlign w:val="superscript"/>
        </w:rPr>
        <w:t>2</w:t>
      </w:r>
      <w:r w:rsidR="003C24EF">
        <w:rPr>
          <w:szCs w:val="24"/>
        </w:rPr>
        <w:t>)</w:t>
      </w:r>
      <w:r w:rsidR="00C205EF">
        <w:rPr>
          <w:szCs w:val="24"/>
        </w:rPr>
        <w:t xml:space="preserve">, </w:t>
      </w:r>
      <w:r w:rsidR="00C205EF" w:rsidRPr="00C205EF">
        <w:rPr>
          <w:i/>
          <w:szCs w:val="24"/>
        </w:rPr>
        <w:t>C</w:t>
      </w:r>
      <w:r w:rsidR="00C205EF" w:rsidRPr="00C205EF">
        <w:rPr>
          <w:i/>
          <w:szCs w:val="24"/>
          <w:vertAlign w:val="subscript"/>
        </w:rPr>
        <w:t>L</w:t>
      </w:r>
      <w:r w:rsidR="00C205EF">
        <w:rPr>
          <w:szCs w:val="24"/>
        </w:rPr>
        <w:t xml:space="preserve"> is the conductance </w:t>
      </w:r>
      <w:r w:rsidR="003C24EF">
        <w:rPr>
          <w:szCs w:val="24"/>
        </w:rPr>
        <w:t>for water vapor</w:t>
      </w:r>
      <w:r w:rsidR="00C205EF">
        <w:rPr>
          <w:szCs w:val="24"/>
        </w:rPr>
        <w:t xml:space="preserve"> (</w:t>
      </w:r>
      <w:r w:rsidR="003C24EF">
        <w:rPr>
          <w:szCs w:val="24"/>
        </w:rPr>
        <w:t xml:space="preserve">58 l/s </w:t>
      </w:r>
      <w:r w:rsidR="006F66A6">
        <w:rPr>
          <w:szCs w:val="24"/>
        </w:rPr>
        <w:t>for</w:t>
      </w:r>
      <w:r w:rsidR="0078472C">
        <w:rPr>
          <w:szCs w:val="24"/>
        </w:rPr>
        <w:t xml:space="preserve"> 18 AMU and</w:t>
      </w:r>
      <w:r w:rsidR="006F66A6">
        <w:rPr>
          <w:szCs w:val="24"/>
        </w:rPr>
        <w:t xml:space="preserve"> 4km </w:t>
      </w:r>
      <w:r w:rsidR="003C24EF">
        <w:rPr>
          <w:szCs w:val="24"/>
        </w:rPr>
        <w:t xml:space="preserve">at </w:t>
      </w:r>
      <w:r w:rsidR="00F8027C">
        <w:rPr>
          <w:szCs w:val="24"/>
        </w:rPr>
        <w:t>293K</w:t>
      </w:r>
      <w:r w:rsidR="00C205EF">
        <w:rPr>
          <w:szCs w:val="24"/>
        </w:rPr>
        <w:t xml:space="preserve">), and </w:t>
      </w:r>
      <w:r w:rsidR="00C205EF" w:rsidRPr="00C205EF">
        <w:rPr>
          <w:i/>
          <w:szCs w:val="24"/>
        </w:rPr>
        <w:t>S</w:t>
      </w:r>
      <w:r w:rsidR="00C205EF">
        <w:rPr>
          <w:szCs w:val="24"/>
        </w:rPr>
        <w:t xml:space="preserve"> is total pumping speed (</w:t>
      </w:r>
      <w:r w:rsidR="00C205EF" w:rsidRPr="00C205EF">
        <w:rPr>
          <w:i/>
          <w:szCs w:val="24"/>
        </w:rPr>
        <w:t>S</w:t>
      </w:r>
      <w:r w:rsidR="003C24EF">
        <w:rPr>
          <w:szCs w:val="24"/>
        </w:rPr>
        <w:t xml:space="preserve">/2 at each end). For </w:t>
      </w:r>
      <w:r w:rsidR="003C24EF" w:rsidRPr="003C24EF">
        <w:rPr>
          <w:i/>
          <w:szCs w:val="24"/>
        </w:rPr>
        <w:t>S</w:t>
      </w:r>
      <w:r w:rsidR="003C24EF">
        <w:rPr>
          <w:szCs w:val="24"/>
        </w:rPr>
        <w:t xml:space="preserve"> &gt;&gt; </w:t>
      </w:r>
      <w:r w:rsidR="003C24EF" w:rsidRPr="003C24EF">
        <w:rPr>
          <w:i/>
          <w:szCs w:val="24"/>
        </w:rPr>
        <w:t>C</w:t>
      </w:r>
      <w:r w:rsidR="003C24EF" w:rsidRPr="003C24EF">
        <w:rPr>
          <w:i/>
          <w:szCs w:val="24"/>
          <w:vertAlign w:val="subscript"/>
        </w:rPr>
        <w:t>L</w:t>
      </w:r>
      <w:r w:rsidR="00821C62">
        <w:rPr>
          <w:szCs w:val="24"/>
        </w:rPr>
        <w:t xml:space="preserve">, </w:t>
      </w:r>
      <w:r w:rsidR="00C42791">
        <w:rPr>
          <w:szCs w:val="24"/>
        </w:rPr>
        <w:t xml:space="preserve">this implies that we require outgassing </w:t>
      </w:r>
      <w:r w:rsidR="00A71729">
        <w:rPr>
          <w:szCs w:val="24"/>
        </w:rPr>
        <w:t>flux</w:t>
      </w:r>
      <w:r w:rsidR="003C24EF">
        <w:rPr>
          <w:szCs w:val="24"/>
        </w:rPr>
        <w:t xml:space="preserve"> </w:t>
      </w:r>
      <w:r w:rsidR="003C24EF" w:rsidRPr="006F66A6">
        <w:rPr>
          <w:i/>
          <w:szCs w:val="24"/>
        </w:rPr>
        <w:t>J</w:t>
      </w:r>
      <w:r w:rsidR="006F66A6" w:rsidRPr="006F66A6">
        <w:rPr>
          <w:i/>
          <w:szCs w:val="24"/>
        </w:rPr>
        <w:t>(H</w:t>
      </w:r>
      <w:r w:rsidR="006F66A6" w:rsidRPr="006F66A6">
        <w:rPr>
          <w:i/>
          <w:szCs w:val="24"/>
          <w:vertAlign w:val="subscript"/>
        </w:rPr>
        <w:t>2</w:t>
      </w:r>
      <w:r w:rsidR="006F66A6" w:rsidRPr="006F66A6">
        <w:rPr>
          <w:i/>
          <w:szCs w:val="24"/>
        </w:rPr>
        <w:t>O)</w:t>
      </w:r>
      <w:r w:rsidR="003C24EF">
        <w:rPr>
          <w:szCs w:val="24"/>
        </w:rPr>
        <w:t xml:space="preserve"> </w:t>
      </w:r>
      <w:r w:rsidR="00B15944">
        <w:t>≤</w:t>
      </w:r>
      <w:r w:rsidR="000D474B" w:rsidRPr="000D474B">
        <w:rPr>
          <w:szCs w:val="24"/>
        </w:rPr>
        <w:t xml:space="preserve"> </w:t>
      </w:r>
      <w:r w:rsidR="000A100B">
        <w:rPr>
          <w:szCs w:val="24"/>
        </w:rPr>
        <w:t>4.4</w:t>
      </w:r>
      <w:r w:rsidR="00B15944">
        <w:rPr>
          <w:szCs w:val="24"/>
        </w:rPr>
        <w:t xml:space="preserve"> x </w:t>
      </w:r>
      <w:r w:rsidR="000D474B" w:rsidRPr="000D474B">
        <w:rPr>
          <w:szCs w:val="24"/>
        </w:rPr>
        <w:t>10</w:t>
      </w:r>
      <w:r w:rsidR="000D474B" w:rsidRPr="000D474B">
        <w:rPr>
          <w:szCs w:val="24"/>
          <w:vertAlign w:val="superscript"/>
        </w:rPr>
        <w:t>-1</w:t>
      </w:r>
      <w:r w:rsidR="00121F14">
        <w:rPr>
          <w:szCs w:val="24"/>
          <w:vertAlign w:val="superscript"/>
        </w:rPr>
        <w:t>6</w:t>
      </w:r>
      <w:r w:rsidR="000D474B" w:rsidRPr="000D474B">
        <w:rPr>
          <w:szCs w:val="24"/>
        </w:rPr>
        <w:t xml:space="preserve"> Tl/s/cm</w:t>
      </w:r>
      <w:r w:rsidR="000D474B" w:rsidRPr="000D474B">
        <w:rPr>
          <w:szCs w:val="24"/>
          <w:vertAlign w:val="superscript"/>
        </w:rPr>
        <w:t>2</w:t>
      </w:r>
      <w:r w:rsidR="00121F14">
        <w:rPr>
          <w:szCs w:val="24"/>
        </w:rPr>
        <w:t>.</w:t>
      </w:r>
    </w:p>
    <w:p w14:paraId="1373BFBA" w14:textId="77777777" w:rsidR="00F8027C" w:rsidRDefault="00F8027C" w:rsidP="00877C2C">
      <w:pPr>
        <w:jc w:val="both"/>
        <w:rPr>
          <w:szCs w:val="24"/>
        </w:rPr>
      </w:pPr>
    </w:p>
    <w:p w14:paraId="25DA0FC2" w14:textId="4C03CD07" w:rsidR="00DC0BC5" w:rsidRDefault="00877C2C" w:rsidP="0022686F">
      <w:pPr>
        <w:jc w:val="both"/>
        <w:rPr>
          <w:szCs w:val="24"/>
        </w:rPr>
      </w:pPr>
      <w:r>
        <w:rPr>
          <w:szCs w:val="24"/>
        </w:rPr>
        <w:t>T</w:t>
      </w:r>
      <w:r w:rsidR="00F8027C">
        <w:rPr>
          <w:szCs w:val="24"/>
        </w:rPr>
        <w:t xml:space="preserve">he </w:t>
      </w:r>
      <w:r w:rsidR="0078472C">
        <w:rPr>
          <w:szCs w:val="24"/>
        </w:rPr>
        <w:t xml:space="preserve">LLO </w:t>
      </w:r>
      <w:r w:rsidR="00F8027C">
        <w:rPr>
          <w:szCs w:val="24"/>
        </w:rPr>
        <w:t>rodent-</w:t>
      </w:r>
      <w:r w:rsidR="00A71729">
        <w:rPr>
          <w:szCs w:val="24"/>
        </w:rPr>
        <w:t>induce</w:t>
      </w:r>
      <w:r w:rsidR="00F8027C">
        <w:rPr>
          <w:szCs w:val="24"/>
        </w:rPr>
        <w:t xml:space="preserve">d </w:t>
      </w:r>
      <w:r>
        <w:rPr>
          <w:szCs w:val="24"/>
        </w:rPr>
        <w:t xml:space="preserve">air </w:t>
      </w:r>
      <w:r w:rsidR="00F8027C">
        <w:rPr>
          <w:szCs w:val="24"/>
        </w:rPr>
        <w:t>leak at Y=</w:t>
      </w:r>
      <w:r w:rsidR="00A71729">
        <w:rPr>
          <w:szCs w:val="24"/>
        </w:rPr>
        <w:t>2</w:t>
      </w:r>
      <w:r w:rsidR="009667EF">
        <w:rPr>
          <w:szCs w:val="24"/>
        </w:rPr>
        <w:t>,</w:t>
      </w:r>
      <w:r w:rsidR="002B71EC">
        <w:rPr>
          <w:szCs w:val="24"/>
        </w:rPr>
        <w:t>258</w:t>
      </w:r>
      <w:r w:rsidR="00A71729">
        <w:rPr>
          <w:szCs w:val="24"/>
        </w:rPr>
        <w:t>m admitted about 3</w:t>
      </w:r>
      <w:r>
        <w:rPr>
          <w:szCs w:val="24"/>
        </w:rPr>
        <w:t>5</w:t>
      </w:r>
      <w:r w:rsidR="00A71729">
        <w:rPr>
          <w:szCs w:val="24"/>
        </w:rPr>
        <w:t xml:space="preserve">0 torr-liters of water vapor from October 2008 until it was sealed in December 2012, assuming 50% </w:t>
      </w:r>
      <w:r w:rsidR="00AB6D08">
        <w:rPr>
          <w:szCs w:val="24"/>
        </w:rPr>
        <w:t>ambient relative humidity</w:t>
      </w:r>
      <w:r w:rsidR="00A71729">
        <w:rPr>
          <w:szCs w:val="24"/>
        </w:rPr>
        <w:t xml:space="preserve">. </w:t>
      </w:r>
      <w:r w:rsidR="000C0050">
        <w:rPr>
          <w:szCs w:val="24"/>
        </w:rPr>
        <w:t xml:space="preserve"> In steady state, </w:t>
      </w:r>
      <w:r w:rsidR="00DC0BC5">
        <w:rPr>
          <w:szCs w:val="24"/>
        </w:rPr>
        <w:t>average</w:t>
      </w:r>
      <w:r w:rsidR="000C0050">
        <w:rPr>
          <w:szCs w:val="24"/>
        </w:rPr>
        <w:t xml:space="preserve"> </w:t>
      </w:r>
      <w:r w:rsidR="0078472C">
        <w:rPr>
          <w:szCs w:val="24"/>
        </w:rPr>
        <w:t xml:space="preserve">internal </w:t>
      </w:r>
      <w:r w:rsidR="000C0050">
        <w:rPr>
          <w:szCs w:val="24"/>
        </w:rPr>
        <w:t>partial pressure</w:t>
      </w:r>
      <w:r w:rsidR="0078472C">
        <w:rPr>
          <w:szCs w:val="24"/>
        </w:rPr>
        <w:t xml:space="preserve"> of water</w:t>
      </w:r>
      <w:r w:rsidR="000C0050">
        <w:rPr>
          <w:szCs w:val="24"/>
        </w:rPr>
        <w:t xml:space="preserve"> </w:t>
      </w:r>
      <w:r w:rsidR="00F652A4">
        <w:rPr>
          <w:szCs w:val="24"/>
        </w:rPr>
        <w:t xml:space="preserve">during the exposure </w:t>
      </w:r>
      <w:r w:rsidR="000C0050">
        <w:rPr>
          <w:szCs w:val="24"/>
        </w:rPr>
        <w:t xml:space="preserve">would have been about </w:t>
      </w:r>
      <w:r w:rsidR="00DC0BC5">
        <w:rPr>
          <w:szCs w:val="24"/>
        </w:rPr>
        <w:t>10</w:t>
      </w:r>
      <w:r w:rsidR="00DC0BC5" w:rsidRPr="00DC0BC5">
        <w:rPr>
          <w:szCs w:val="24"/>
          <w:vertAlign w:val="superscript"/>
        </w:rPr>
        <w:t>-7</w:t>
      </w:r>
      <w:r w:rsidR="00F652A4">
        <w:rPr>
          <w:szCs w:val="24"/>
        </w:rPr>
        <w:t xml:space="preserve"> torr</w:t>
      </w:r>
      <w:r w:rsidR="00021940">
        <w:rPr>
          <w:szCs w:val="24"/>
        </w:rPr>
        <w:t>,</w:t>
      </w:r>
      <w:r w:rsidR="00F652A4">
        <w:rPr>
          <w:szCs w:val="24"/>
        </w:rPr>
        <w:t xml:space="preserve"> </w:t>
      </w:r>
      <w:r w:rsidR="00AB6D08">
        <w:rPr>
          <w:szCs w:val="24"/>
        </w:rPr>
        <w:t>assuming</w:t>
      </w:r>
      <w:r w:rsidR="00F652A4">
        <w:rPr>
          <w:szCs w:val="24"/>
        </w:rPr>
        <w:t xml:space="preserve"> the </w:t>
      </w:r>
      <w:r w:rsidR="00AB6D08">
        <w:rPr>
          <w:szCs w:val="24"/>
        </w:rPr>
        <w:t>vapor</w:t>
      </w:r>
      <w:r w:rsidR="00F652A4">
        <w:rPr>
          <w:szCs w:val="24"/>
        </w:rPr>
        <w:t xml:space="preserve"> w</w:t>
      </w:r>
      <w:r w:rsidR="00AB6D08">
        <w:rPr>
          <w:szCs w:val="24"/>
        </w:rPr>
        <w:t>as</w:t>
      </w:r>
      <w:r w:rsidR="00F652A4">
        <w:rPr>
          <w:szCs w:val="24"/>
        </w:rPr>
        <w:t xml:space="preserve"> </w:t>
      </w:r>
      <w:r w:rsidR="00021940">
        <w:rPr>
          <w:szCs w:val="24"/>
        </w:rPr>
        <w:t>conduct</w:t>
      </w:r>
      <w:r w:rsidR="00F652A4">
        <w:rPr>
          <w:szCs w:val="24"/>
        </w:rPr>
        <w:t xml:space="preserve">ed to the ends without </w:t>
      </w:r>
      <w:r w:rsidR="0078472C">
        <w:rPr>
          <w:szCs w:val="24"/>
        </w:rPr>
        <w:t xml:space="preserve">immediate </w:t>
      </w:r>
      <w:r w:rsidR="00F652A4">
        <w:rPr>
          <w:szCs w:val="24"/>
        </w:rPr>
        <w:t xml:space="preserve">absorption. </w:t>
      </w:r>
      <w:r w:rsidR="00DC0BC5">
        <w:rPr>
          <w:szCs w:val="24"/>
        </w:rPr>
        <w:t xml:space="preserve"> </w:t>
      </w:r>
      <w:r w:rsidR="00A71729">
        <w:rPr>
          <w:szCs w:val="24"/>
        </w:rPr>
        <w:t xml:space="preserve"> </w:t>
      </w:r>
    </w:p>
    <w:p w14:paraId="1828DDA9" w14:textId="77777777" w:rsidR="00DC0BC5" w:rsidRDefault="00DC0BC5" w:rsidP="0022686F">
      <w:pPr>
        <w:jc w:val="both"/>
        <w:rPr>
          <w:szCs w:val="24"/>
        </w:rPr>
      </w:pPr>
    </w:p>
    <w:p w14:paraId="0717C1E8" w14:textId="2C2B204F" w:rsidR="000C0050" w:rsidRPr="00230E0D" w:rsidRDefault="00877C2C" w:rsidP="00230E0D">
      <w:pPr>
        <w:jc w:val="both"/>
        <w:rPr>
          <w:szCs w:val="24"/>
        </w:rPr>
      </w:pPr>
      <w:r>
        <w:rPr>
          <w:szCs w:val="24"/>
        </w:rPr>
        <w:t>The expected effect on future outgassing is not well constrained</w:t>
      </w:r>
      <w:r w:rsidR="0078472C">
        <w:rPr>
          <w:szCs w:val="24"/>
        </w:rPr>
        <w:t>,</w:t>
      </w:r>
      <w:r w:rsidR="00C42791">
        <w:rPr>
          <w:szCs w:val="24"/>
        </w:rPr>
        <w:t xml:space="preserve"> due to the nonequilibrium state of the post-bake steel</w:t>
      </w:r>
      <w:r>
        <w:rPr>
          <w:szCs w:val="24"/>
        </w:rPr>
        <w:t xml:space="preserve">. </w:t>
      </w:r>
      <w:r w:rsidR="0022686F">
        <w:rPr>
          <w:szCs w:val="24"/>
        </w:rPr>
        <w:t xml:space="preserve">Treating the related case of </w:t>
      </w:r>
      <w:r w:rsidR="0078472C">
        <w:rPr>
          <w:szCs w:val="24"/>
        </w:rPr>
        <w:t xml:space="preserve">transient </w:t>
      </w:r>
      <w:r w:rsidR="0022686F">
        <w:rPr>
          <w:szCs w:val="24"/>
        </w:rPr>
        <w:t xml:space="preserve">vapor </w:t>
      </w:r>
      <w:r w:rsidR="00821C62">
        <w:rPr>
          <w:szCs w:val="24"/>
        </w:rPr>
        <w:t xml:space="preserve">from detector components </w:t>
      </w:r>
      <w:r w:rsidR="0022686F">
        <w:rPr>
          <w:szCs w:val="24"/>
        </w:rPr>
        <w:t xml:space="preserve">streaming </w:t>
      </w:r>
      <w:r w:rsidR="00821C62">
        <w:rPr>
          <w:szCs w:val="24"/>
        </w:rPr>
        <w:t xml:space="preserve">into the tube </w:t>
      </w:r>
      <w:r w:rsidR="0022686F">
        <w:rPr>
          <w:szCs w:val="24"/>
        </w:rPr>
        <w:t xml:space="preserve">through the cryopumps, </w:t>
      </w:r>
      <w:r w:rsidR="00961D61">
        <w:rPr>
          <w:szCs w:val="24"/>
        </w:rPr>
        <w:t>Weiss</w:t>
      </w:r>
      <w:r w:rsidR="00961D61">
        <w:rPr>
          <w:rStyle w:val="FootnoteReference"/>
        </w:rPr>
        <w:footnoteReference w:id="2"/>
      </w:r>
      <w:r w:rsidR="00961D61">
        <w:rPr>
          <w:szCs w:val="24"/>
        </w:rPr>
        <w:t xml:space="preserve"> </w:t>
      </w:r>
      <w:r w:rsidR="0022686F">
        <w:rPr>
          <w:szCs w:val="24"/>
        </w:rPr>
        <w:t>predicts</w:t>
      </w:r>
      <w:r w:rsidR="00961D61">
        <w:rPr>
          <w:szCs w:val="24"/>
        </w:rPr>
        <w:t xml:space="preserve"> approximate reciprocity</w:t>
      </w:r>
      <w:r w:rsidR="0022686F">
        <w:rPr>
          <w:szCs w:val="24"/>
        </w:rPr>
        <w:t xml:space="preserve"> </w:t>
      </w:r>
      <w:r w:rsidR="00961D61">
        <w:rPr>
          <w:szCs w:val="24"/>
        </w:rPr>
        <w:t xml:space="preserve">between </w:t>
      </w:r>
      <w:r w:rsidR="0022686F">
        <w:rPr>
          <w:szCs w:val="24"/>
        </w:rPr>
        <w:t xml:space="preserve">exposure time </w:t>
      </w:r>
      <w:r w:rsidR="0022686F" w:rsidRPr="0022686F">
        <w:rPr>
          <w:i/>
          <w:szCs w:val="24"/>
        </w:rPr>
        <w:t>t</w:t>
      </w:r>
      <w:r w:rsidR="0078472C">
        <w:rPr>
          <w:i/>
          <w:szCs w:val="24"/>
          <w:vertAlign w:val="subscript"/>
        </w:rPr>
        <w:t xml:space="preserve">0 </w:t>
      </w:r>
      <w:r w:rsidR="0022686F">
        <w:rPr>
          <w:szCs w:val="24"/>
        </w:rPr>
        <w:t xml:space="preserve">at elevated pressure </w:t>
      </w:r>
      <w:r w:rsidR="0022686F" w:rsidRPr="0022686F">
        <w:rPr>
          <w:i/>
          <w:szCs w:val="24"/>
        </w:rPr>
        <w:t>P</w:t>
      </w:r>
      <w:r w:rsidR="0022686F">
        <w:rPr>
          <w:i/>
          <w:szCs w:val="24"/>
          <w:vertAlign w:val="subscript"/>
        </w:rPr>
        <w:t>0</w:t>
      </w:r>
      <w:r w:rsidR="0078472C">
        <w:rPr>
          <w:szCs w:val="24"/>
        </w:rPr>
        <w:t>,</w:t>
      </w:r>
      <w:r w:rsidR="00661FCC">
        <w:rPr>
          <w:szCs w:val="24"/>
        </w:rPr>
        <w:t xml:space="preserve"> </w:t>
      </w:r>
      <w:r w:rsidR="0022686F">
        <w:rPr>
          <w:szCs w:val="24"/>
        </w:rPr>
        <w:t xml:space="preserve">and </w:t>
      </w:r>
      <w:r w:rsidR="00961D61">
        <w:rPr>
          <w:szCs w:val="24"/>
        </w:rPr>
        <w:t xml:space="preserve">recovery time </w:t>
      </w:r>
      <w:r w:rsidR="0022686F" w:rsidRPr="0022686F">
        <w:rPr>
          <w:i/>
          <w:szCs w:val="24"/>
        </w:rPr>
        <w:t>t</w:t>
      </w:r>
      <w:r w:rsidR="0022686F" w:rsidRPr="0022686F">
        <w:rPr>
          <w:i/>
          <w:szCs w:val="24"/>
          <w:vertAlign w:val="subscript"/>
        </w:rPr>
        <w:t>1</w:t>
      </w:r>
      <w:r w:rsidR="0022686F">
        <w:rPr>
          <w:szCs w:val="24"/>
        </w:rPr>
        <w:t xml:space="preserve"> to reach some goal pressure</w:t>
      </w:r>
      <w:r w:rsidR="00961D61">
        <w:rPr>
          <w:szCs w:val="24"/>
        </w:rPr>
        <w:t xml:space="preserve"> </w:t>
      </w:r>
      <w:r w:rsidR="0022686F" w:rsidRPr="0022686F">
        <w:rPr>
          <w:i/>
          <w:szCs w:val="24"/>
        </w:rPr>
        <w:t>P</w:t>
      </w:r>
      <w:r w:rsidR="0022686F" w:rsidRPr="0022686F">
        <w:rPr>
          <w:i/>
          <w:szCs w:val="24"/>
          <w:vertAlign w:val="subscript"/>
        </w:rPr>
        <w:t>1</w:t>
      </w:r>
      <w:r w:rsidR="000C0050">
        <w:rPr>
          <w:szCs w:val="24"/>
        </w:rPr>
        <w:t xml:space="preserve">. </w:t>
      </w:r>
      <w:r w:rsidR="00230E0D">
        <w:rPr>
          <w:szCs w:val="24"/>
        </w:rPr>
        <w:t xml:space="preserve"> However this clearly breaks down unless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Cs w:val="24"/>
              </w:rPr>
              <m:t>1</m:t>
            </m:r>
          </m:sub>
        </m:sSub>
        <m:r>
          <w:rPr>
            <w:rFonts w:ascii="Cambria Math" w:hAnsi="Cambria Math"/>
            <w:szCs w:val="24"/>
            <w:vertAlign w:val="subscript"/>
          </w:rPr>
          <m:t>≫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r>
          <w:rPr>
            <w:rFonts w:ascii="Cambria Math" w:hAnsi="Cambria Math"/>
            <w:szCs w:val="24"/>
          </w:rPr>
          <m:t xml:space="preserve"> </m:t>
        </m:r>
      </m:oMath>
      <w:r w:rsidR="0078472C">
        <w:rPr>
          <w:szCs w:val="24"/>
        </w:rPr>
        <w:t xml:space="preserve">, </w:t>
      </w:r>
      <w:r w:rsidR="00C42791">
        <w:rPr>
          <w:szCs w:val="24"/>
        </w:rPr>
        <w:t>and therefore</w:t>
      </w:r>
      <w:r w:rsidR="00AF4B5D">
        <w:rPr>
          <w:szCs w:val="24"/>
        </w:rPr>
        <w:t xml:space="preserve"> does not apply</w:t>
      </w:r>
      <w:r w:rsidR="00875136">
        <w:rPr>
          <w:szCs w:val="24"/>
        </w:rPr>
        <w:t xml:space="preserve"> here</w:t>
      </w:r>
      <w:r w:rsidR="00AF4B5D">
        <w:rPr>
          <w:szCs w:val="24"/>
        </w:rPr>
        <w:t xml:space="preserve">. </w:t>
      </w:r>
      <w:r w:rsidR="00875136">
        <w:rPr>
          <w:szCs w:val="24"/>
        </w:rPr>
        <w:t>Indeed, f</w:t>
      </w:r>
      <w:r w:rsidR="00230E0D">
        <w:rPr>
          <w:szCs w:val="24"/>
        </w:rPr>
        <w:t>or the present case</w:t>
      </w:r>
      <w:r w:rsidR="0078472C">
        <w:rPr>
          <w:szCs w:val="24"/>
        </w:rPr>
        <w:t xml:space="preserve"> the relation</w:t>
      </w:r>
      <w:r w:rsidR="00230E0D">
        <w:rPr>
          <w:szCs w:val="24"/>
        </w:rPr>
        <w:t xml:space="preserve"> </w:t>
      </w:r>
      <w:r w:rsidR="00C42791">
        <w:rPr>
          <w:szCs w:val="24"/>
        </w:rPr>
        <w:t>might be interpreted to</w:t>
      </w:r>
      <w:r w:rsidR="00AF4B5D">
        <w:rPr>
          <w:szCs w:val="24"/>
        </w:rPr>
        <w:t xml:space="preserve"> suggest</w:t>
      </w:r>
      <w:r w:rsidR="00021940">
        <w:rPr>
          <w:szCs w:val="24"/>
        </w:rPr>
        <w:t xml:space="preserve"> 4,000 years </w:t>
      </w:r>
      <w:r w:rsidR="00C42791">
        <w:rPr>
          <w:szCs w:val="24"/>
        </w:rPr>
        <w:t>are</w:t>
      </w:r>
      <w:r w:rsidR="00021940">
        <w:rPr>
          <w:szCs w:val="24"/>
        </w:rPr>
        <w:t xml:space="preserve"> needed to recover the goal pressure after 4 years </w:t>
      </w:r>
      <w:r w:rsidR="00875136">
        <w:rPr>
          <w:szCs w:val="24"/>
        </w:rPr>
        <w:t>at 1,000x higher</w:t>
      </w:r>
      <w:r w:rsidR="00D56399">
        <w:rPr>
          <w:szCs w:val="24"/>
        </w:rPr>
        <w:t xml:space="preserve"> pressure</w:t>
      </w:r>
      <w:r w:rsidR="00021940">
        <w:rPr>
          <w:szCs w:val="24"/>
        </w:rPr>
        <w:t xml:space="preserve">.  </w:t>
      </w:r>
      <w:r w:rsidR="00230E0D">
        <w:rPr>
          <w:szCs w:val="24"/>
        </w:rPr>
        <w:t xml:space="preserve"> </w:t>
      </w:r>
      <w:r w:rsidR="0078472C">
        <w:rPr>
          <w:szCs w:val="24"/>
        </w:rPr>
        <w:t>This woul</w:t>
      </w:r>
      <w:r w:rsidR="00875136">
        <w:rPr>
          <w:szCs w:val="24"/>
        </w:rPr>
        <w:t>d be alarming, but it's clearly too</w:t>
      </w:r>
      <w:r w:rsidR="0078472C">
        <w:rPr>
          <w:szCs w:val="24"/>
        </w:rPr>
        <w:t xml:space="preserve"> pessimistic.</w:t>
      </w:r>
    </w:p>
    <w:p w14:paraId="0AD81686" w14:textId="77777777" w:rsidR="00AB6D08" w:rsidRDefault="00AB6D08" w:rsidP="0022686F">
      <w:pPr>
        <w:jc w:val="both"/>
        <w:rPr>
          <w:szCs w:val="24"/>
        </w:rPr>
      </w:pPr>
    </w:p>
    <w:p w14:paraId="57FA8F06" w14:textId="40429109" w:rsidR="00AF6A82" w:rsidRDefault="009667EF" w:rsidP="0022686F">
      <w:pPr>
        <w:jc w:val="both"/>
        <w:rPr>
          <w:szCs w:val="24"/>
        </w:rPr>
      </w:pPr>
      <w:r>
        <w:rPr>
          <w:szCs w:val="24"/>
        </w:rPr>
        <w:t>A</w:t>
      </w:r>
      <w:r w:rsidR="00C42791">
        <w:rPr>
          <w:szCs w:val="24"/>
        </w:rPr>
        <w:t xml:space="preserve"> passive</w:t>
      </w:r>
      <w:r>
        <w:rPr>
          <w:szCs w:val="24"/>
        </w:rPr>
        <w:t xml:space="preserve"> accumulation of about 100 hours</w:t>
      </w:r>
      <w:r w:rsidR="008C6475">
        <w:rPr>
          <w:szCs w:val="24"/>
        </w:rPr>
        <w:t xml:space="preserve"> was performed </w:t>
      </w:r>
      <w:r w:rsidR="00C42791">
        <w:rPr>
          <w:szCs w:val="24"/>
        </w:rPr>
        <w:t xml:space="preserve">on this tube </w:t>
      </w:r>
      <w:r w:rsidR="008C6475">
        <w:rPr>
          <w:szCs w:val="24"/>
        </w:rPr>
        <w:t xml:space="preserve">in November 2014, nominally </w:t>
      </w:r>
      <w:r>
        <w:rPr>
          <w:szCs w:val="24"/>
        </w:rPr>
        <w:t xml:space="preserve">to </w:t>
      </w:r>
      <w:r w:rsidR="008C6475">
        <w:rPr>
          <w:szCs w:val="24"/>
        </w:rPr>
        <w:t>test for</w:t>
      </w:r>
      <w:r>
        <w:rPr>
          <w:szCs w:val="24"/>
        </w:rPr>
        <w:t xml:space="preserve"> air leakage after repairs.</w:t>
      </w:r>
      <w:r w:rsidR="00790EF4">
        <w:rPr>
          <w:rStyle w:val="FootnoteReference"/>
          <w:szCs w:val="24"/>
        </w:rPr>
        <w:footnoteReference w:id="3"/>
      </w:r>
      <w:r>
        <w:rPr>
          <w:szCs w:val="24"/>
        </w:rPr>
        <w:t xml:space="preserve"> </w:t>
      </w:r>
      <w:r w:rsidR="008C6475">
        <w:rPr>
          <w:szCs w:val="24"/>
        </w:rPr>
        <w:t>The</w:t>
      </w:r>
      <w:r>
        <w:rPr>
          <w:szCs w:val="24"/>
        </w:rPr>
        <w:t xml:space="preserve"> residual gas </w:t>
      </w:r>
      <w:r w:rsidR="002B71EC">
        <w:rPr>
          <w:szCs w:val="24"/>
        </w:rPr>
        <w:t>analyzer at the midstation (Y=</w:t>
      </w:r>
      <w:r>
        <w:rPr>
          <w:szCs w:val="24"/>
        </w:rPr>
        <w:t xml:space="preserve">2,019m) recorded </w:t>
      </w:r>
      <w:r w:rsidR="0078472C">
        <w:rPr>
          <w:szCs w:val="24"/>
        </w:rPr>
        <w:t xml:space="preserve">the </w:t>
      </w:r>
      <w:r w:rsidR="00790EF4">
        <w:rPr>
          <w:szCs w:val="24"/>
        </w:rPr>
        <w:t xml:space="preserve">water vapor </w:t>
      </w:r>
      <w:r>
        <w:rPr>
          <w:szCs w:val="24"/>
        </w:rPr>
        <w:t xml:space="preserve">partial pressure </w:t>
      </w:r>
      <w:r w:rsidR="000160D7">
        <w:rPr>
          <w:szCs w:val="24"/>
        </w:rPr>
        <w:t xml:space="preserve">of </w:t>
      </w:r>
      <w:r w:rsidR="008C6475">
        <w:rPr>
          <w:szCs w:val="24"/>
        </w:rPr>
        <w:t>1.5</w:t>
      </w:r>
      <w:r w:rsidR="00AC2AE6">
        <w:rPr>
          <w:szCs w:val="24"/>
        </w:rPr>
        <w:t xml:space="preserve"> </w:t>
      </w:r>
      <w:r w:rsidR="000160D7">
        <w:rPr>
          <w:szCs w:val="24"/>
        </w:rPr>
        <w:t>x 10</w:t>
      </w:r>
      <w:r w:rsidR="000160D7" w:rsidRPr="000160D7">
        <w:rPr>
          <w:szCs w:val="24"/>
          <w:vertAlign w:val="superscript"/>
        </w:rPr>
        <w:t>-10</w:t>
      </w:r>
      <w:r w:rsidR="00890125">
        <w:rPr>
          <w:szCs w:val="24"/>
        </w:rPr>
        <w:t xml:space="preserve"> torr</w:t>
      </w:r>
      <w:r w:rsidR="0078472C">
        <w:rPr>
          <w:szCs w:val="24"/>
        </w:rPr>
        <w:t>,</w:t>
      </w:r>
      <w:r w:rsidR="00EE0714">
        <w:rPr>
          <w:szCs w:val="24"/>
        </w:rPr>
        <w:t xml:space="preserve"> 20 hours after the end </w:t>
      </w:r>
      <w:r w:rsidR="00A22D0C">
        <w:rPr>
          <w:szCs w:val="24"/>
        </w:rPr>
        <w:t xml:space="preserve">gate </w:t>
      </w:r>
      <w:r w:rsidR="00EE0714">
        <w:rPr>
          <w:szCs w:val="24"/>
        </w:rPr>
        <w:t>valves were sealed</w:t>
      </w:r>
      <w:r w:rsidR="008C6475">
        <w:rPr>
          <w:szCs w:val="24"/>
        </w:rPr>
        <w:t xml:space="preserve">. Since </w:t>
      </w:r>
      <w:r w:rsidR="00EE0714">
        <w:rPr>
          <w:szCs w:val="24"/>
        </w:rPr>
        <w:t xml:space="preserve">the </w:t>
      </w:r>
      <w:r w:rsidR="008C6475">
        <w:rPr>
          <w:szCs w:val="24"/>
        </w:rPr>
        <w:t>relaxation</w:t>
      </w:r>
      <w:r w:rsidR="0078472C">
        <w:rPr>
          <w:szCs w:val="24"/>
        </w:rPr>
        <w:t xml:space="preserve"> time</w:t>
      </w:r>
      <w:r w:rsidR="00EE0714">
        <w:rPr>
          <w:szCs w:val="24"/>
        </w:rPr>
        <w:t xml:space="preserve"> for water vapor is about </w:t>
      </w:r>
      <w:r w:rsidR="0078472C">
        <w:rPr>
          <w:szCs w:val="24"/>
        </w:rPr>
        <w:t>8</w:t>
      </w:r>
      <w:r w:rsidR="00EE0714">
        <w:rPr>
          <w:szCs w:val="24"/>
        </w:rPr>
        <w:t xml:space="preserve"> hours</w:t>
      </w:r>
      <w:r w:rsidR="008C6475">
        <w:rPr>
          <w:szCs w:val="24"/>
        </w:rPr>
        <w:t>, we conservatively interpret this as</w:t>
      </w:r>
      <w:r w:rsidR="0078472C">
        <w:rPr>
          <w:szCs w:val="24"/>
        </w:rPr>
        <w:t xml:space="preserve"> if it was uniform a mean pressure, i.e., with</w:t>
      </w:r>
      <w:r w:rsidR="008C6475">
        <w:rPr>
          <w:szCs w:val="24"/>
        </w:rPr>
        <w:t xml:space="preserve"> pumping gradients relaxed. </w:t>
      </w:r>
      <w:r w:rsidR="00890125">
        <w:rPr>
          <w:szCs w:val="24"/>
        </w:rPr>
        <w:t xml:space="preserve"> </w:t>
      </w:r>
    </w:p>
    <w:p w14:paraId="3AD68D1C" w14:textId="77777777" w:rsidR="00AF6A82" w:rsidRDefault="00AF6A82" w:rsidP="0022686F">
      <w:pPr>
        <w:jc w:val="both"/>
        <w:rPr>
          <w:szCs w:val="24"/>
        </w:rPr>
      </w:pPr>
    </w:p>
    <w:p w14:paraId="1EE4D764" w14:textId="655CBC13" w:rsidR="00AB6D08" w:rsidRDefault="00890125" w:rsidP="0022686F">
      <w:pPr>
        <w:jc w:val="both"/>
        <w:rPr>
          <w:szCs w:val="24"/>
        </w:rPr>
      </w:pPr>
      <w:r>
        <w:rPr>
          <w:szCs w:val="24"/>
        </w:rPr>
        <w:t xml:space="preserve">The </w:t>
      </w:r>
      <w:r w:rsidR="00B96094">
        <w:rPr>
          <w:szCs w:val="24"/>
        </w:rPr>
        <w:t xml:space="preserve">unpumped </w:t>
      </w:r>
      <w:r w:rsidR="000160D7">
        <w:rPr>
          <w:szCs w:val="24"/>
        </w:rPr>
        <w:t>rate of rise</w:t>
      </w:r>
      <w:r w:rsidR="008C6475">
        <w:rPr>
          <w:szCs w:val="24"/>
        </w:rPr>
        <w:t xml:space="preserve"> measured thereafter</w:t>
      </w:r>
      <w:r w:rsidR="000160D7">
        <w:rPr>
          <w:szCs w:val="24"/>
        </w:rPr>
        <w:t xml:space="preserve"> </w:t>
      </w:r>
      <w:r w:rsidR="000A100B">
        <w:rPr>
          <w:szCs w:val="24"/>
        </w:rPr>
        <w:t xml:space="preserve">would </w:t>
      </w:r>
      <w:r w:rsidR="000160D7">
        <w:rPr>
          <w:szCs w:val="24"/>
        </w:rPr>
        <w:t xml:space="preserve">correspond to a uniform degassing </w:t>
      </w:r>
      <w:r w:rsidR="002B71EC">
        <w:rPr>
          <w:szCs w:val="24"/>
        </w:rPr>
        <w:t>flux</w:t>
      </w:r>
      <w:r w:rsidR="00991521">
        <w:rPr>
          <w:szCs w:val="24"/>
        </w:rPr>
        <w:t xml:space="preserve"> of about 2.4x</w:t>
      </w:r>
      <w:r w:rsidR="000160D7">
        <w:rPr>
          <w:szCs w:val="24"/>
        </w:rPr>
        <w:t>10</w:t>
      </w:r>
      <w:r w:rsidR="000160D7" w:rsidRPr="000160D7">
        <w:rPr>
          <w:szCs w:val="24"/>
          <w:vertAlign w:val="superscript"/>
        </w:rPr>
        <w:t>-17</w:t>
      </w:r>
      <w:r w:rsidR="000160D7">
        <w:rPr>
          <w:szCs w:val="24"/>
        </w:rPr>
        <w:t xml:space="preserve"> Tl/s/cm</w:t>
      </w:r>
      <w:r w:rsidR="000160D7" w:rsidRPr="000160D7">
        <w:rPr>
          <w:szCs w:val="24"/>
          <w:vertAlign w:val="superscript"/>
        </w:rPr>
        <w:t>2</w:t>
      </w:r>
      <w:r w:rsidR="007B6C8D">
        <w:rPr>
          <w:szCs w:val="24"/>
        </w:rPr>
        <w:t xml:space="preserve">. </w:t>
      </w:r>
      <w:r w:rsidR="008C6475">
        <w:rPr>
          <w:szCs w:val="24"/>
        </w:rPr>
        <w:t>However</w:t>
      </w:r>
      <w:r w:rsidR="00875136">
        <w:rPr>
          <w:szCs w:val="24"/>
        </w:rPr>
        <w:t>,</w:t>
      </w:r>
      <w:r w:rsidR="008C6475">
        <w:rPr>
          <w:szCs w:val="24"/>
        </w:rPr>
        <w:t xml:space="preserve"> t</w:t>
      </w:r>
      <w:r w:rsidR="000A100B">
        <w:rPr>
          <w:szCs w:val="24"/>
        </w:rPr>
        <w:t>h</w:t>
      </w:r>
      <w:r w:rsidR="00D56399">
        <w:rPr>
          <w:szCs w:val="24"/>
        </w:rPr>
        <w:t xml:space="preserve">e rate of rise </w:t>
      </w:r>
      <w:r w:rsidR="000160D7">
        <w:rPr>
          <w:szCs w:val="24"/>
        </w:rPr>
        <w:t>is lik</w:t>
      </w:r>
      <w:r w:rsidR="00B15944">
        <w:rPr>
          <w:szCs w:val="24"/>
        </w:rPr>
        <w:t>ely depressed due to surface redistribu</w:t>
      </w:r>
      <w:r w:rsidR="000160D7">
        <w:rPr>
          <w:szCs w:val="24"/>
        </w:rPr>
        <w:t>tion,</w:t>
      </w:r>
      <w:r w:rsidR="00661FCC">
        <w:rPr>
          <w:szCs w:val="24"/>
        </w:rPr>
        <w:t xml:space="preserve"> typical of water vapor after a</w:t>
      </w:r>
      <w:r w:rsidR="00875136">
        <w:rPr>
          <w:szCs w:val="24"/>
        </w:rPr>
        <w:t>n abrupt</w:t>
      </w:r>
      <w:r w:rsidR="00661FCC">
        <w:rPr>
          <w:szCs w:val="24"/>
        </w:rPr>
        <w:t xml:space="preserve"> change in </w:t>
      </w:r>
      <w:r w:rsidR="00875136">
        <w:rPr>
          <w:szCs w:val="24"/>
        </w:rPr>
        <w:t>pumping</w:t>
      </w:r>
      <w:r w:rsidR="00661FCC">
        <w:rPr>
          <w:szCs w:val="24"/>
        </w:rPr>
        <w:t xml:space="preserve">. </w:t>
      </w:r>
      <w:r w:rsidR="008C6475">
        <w:rPr>
          <w:szCs w:val="24"/>
        </w:rPr>
        <w:t>The beginning</w:t>
      </w:r>
      <w:r w:rsidR="00661FCC">
        <w:rPr>
          <w:szCs w:val="24"/>
        </w:rPr>
        <w:t xml:space="preserve"> </w:t>
      </w:r>
      <w:r w:rsidR="000160D7">
        <w:rPr>
          <w:szCs w:val="24"/>
        </w:rPr>
        <w:t>pressure</w:t>
      </w:r>
      <w:r w:rsidR="008C6475">
        <w:rPr>
          <w:szCs w:val="24"/>
        </w:rPr>
        <w:t xml:space="preserve"> instead</w:t>
      </w:r>
      <w:r w:rsidR="00661FCC">
        <w:rPr>
          <w:szCs w:val="24"/>
        </w:rPr>
        <w:t xml:space="preserve"> suggests a true asymptotic </w:t>
      </w:r>
      <w:r w:rsidR="00D56399">
        <w:rPr>
          <w:szCs w:val="24"/>
        </w:rPr>
        <w:t>flux</w:t>
      </w:r>
      <w:r w:rsidR="00661FCC">
        <w:rPr>
          <w:szCs w:val="24"/>
        </w:rPr>
        <w:t xml:space="preserve"> </w:t>
      </w:r>
      <w:r w:rsidR="0078472C">
        <w:rPr>
          <w:szCs w:val="24"/>
        </w:rPr>
        <w:t>more like</w:t>
      </w:r>
      <w:r>
        <w:rPr>
          <w:szCs w:val="24"/>
        </w:rPr>
        <w:t xml:space="preserve"> </w:t>
      </w:r>
      <w:r w:rsidR="008C6475">
        <w:rPr>
          <w:szCs w:val="24"/>
        </w:rPr>
        <w:t>6.6</w:t>
      </w:r>
      <w:r>
        <w:rPr>
          <w:szCs w:val="24"/>
        </w:rPr>
        <w:t>x</w:t>
      </w:r>
      <w:r w:rsidR="00661FCC">
        <w:rPr>
          <w:szCs w:val="24"/>
        </w:rPr>
        <w:t>10</w:t>
      </w:r>
      <w:r w:rsidR="00661FCC" w:rsidRPr="00661FCC">
        <w:rPr>
          <w:szCs w:val="24"/>
          <w:vertAlign w:val="superscript"/>
        </w:rPr>
        <w:t>-1</w:t>
      </w:r>
      <w:r w:rsidR="008C6475">
        <w:rPr>
          <w:szCs w:val="24"/>
          <w:vertAlign w:val="superscript"/>
        </w:rPr>
        <w:t>6</w:t>
      </w:r>
      <w:r w:rsidR="00661FCC">
        <w:rPr>
          <w:szCs w:val="24"/>
        </w:rPr>
        <w:t xml:space="preserve"> Tl/s/cm</w:t>
      </w:r>
      <w:r w:rsidR="00661FCC" w:rsidRPr="00661FCC">
        <w:rPr>
          <w:szCs w:val="24"/>
          <w:vertAlign w:val="superscript"/>
        </w:rPr>
        <w:t>2</w:t>
      </w:r>
      <w:r w:rsidR="00661FCC">
        <w:rPr>
          <w:szCs w:val="24"/>
        </w:rPr>
        <w:t>.</w:t>
      </w:r>
      <w:r>
        <w:rPr>
          <w:szCs w:val="24"/>
        </w:rPr>
        <w:t xml:space="preserve"> The tube wall temperature averaged 14C during this test; normalizing to 20C elevates the implied rate </w:t>
      </w:r>
      <w:r w:rsidR="00C42791">
        <w:rPr>
          <w:szCs w:val="24"/>
        </w:rPr>
        <w:t xml:space="preserve">at standard temperature </w:t>
      </w:r>
      <w:r>
        <w:rPr>
          <w:szCs w:val="24"/>
        </w:rPr>
        <w:t xml:space="preserve">by about a factor of two. </w:t>
      </w:r>
    </w:p>
    <w:p w14:paraId="41F7629B" w14:textId="77777777" w:rsidR="009667EF" w:rsidRDefault="009667EF" w:rsidP="0022686F">
      <w:pPr>
        <w:jc w:val="both"/>
        <w:rPr>
          <w:szCs w:val="24"/>
        </w:rPr>
      </w:pPr>
    </w:p>
    <w:p w14:paraId="1D5922CF" w14:textId="62F5D947" w:rsidR="007B6C8D" w:rsidRDefault="00661FCC" w:rsidP="0022686F">
      <w:pPr>
        <w:jc w:val="both"/>
        <w:rPr>
          <w:szCs w:val="24"/>
        </w:rPr>
      </w:pPr>
      <w:r>
        <w:rPr>
          <w:szCs w:val="24"/>
        </w:rPr>
        <w:t>Subsequent attempts</w:t>
      </w:r>
      <w:r>
        <w:rPr>
          <w:rStyle w:val="FootnoteReference"/>
          <w:szCs w:val="24"/>
        </w:rPr>
        <w:footnoteReference w:id="4"/>
      </w:r>
      <w:r>
        <w:rPr>
          <w:szCs w:val="24"/>
        </w:rPr>
        <w:t xml:space="preserve"> to measure water vapor in this</w:t>
      </w:r>
      <w:r w:rsidR="003F4E00">
        <w:rPr>
          <w:szCs w:val="24"/>
        </w:rPr>
        <w:t xml:space="preserve"> location and at Y2-1 (Y=</w:t>
      </w:r>
      <w:r w:rsidR="00821C62">
        <w:rPr>
          <w:szCs w:val="24"/>
        </w:rPr>
        <w:t>2,331</w:t>
      </w:r>
      <w:r>
        <w:rPr>
          <w:szCs w:val="24"/>
        </w:rPr>
        <w:t xml:space="preserve">m) </w:t>
      </w:r>
      <w:r w:rsidR="002D3753">
        <w:rPr>
          <w:szCs w:val="24"/>
        </w:rPr>
        <w:t xml:space="preserve">have been </w:t>
      </w:r>
      <w:r w:rsidR="007B6C8D">
        <w:rPr>
          <w:szCs w:val="24"/>
        </w:rPr>
        <w:t>limited</w:t>
      </w:r>
      <w:r w:rsidR="002D3753">
        <w:rPr>
          <w:szCs w:val="24"/>
        </w:rPr>
        <w:t xml:space="preserve"> by instrument backgrounds, and only </w:t>
      </w:r>
      <w:r w:rsidR="007B6C8D">
        <w:rPr>
          <w:szCs w:val="24"/>
        </w:rPr>
        <w:t xml:space="preserve">constrain </w:t>
      </w:r>
      <w:r w:rsidR="00AF6A82">
        <w:rPr>
          <w:szCs w:val="24"/>
        </w:rPr>
        <w:t xml:space="preserve">the peak </w:t>
      </w:r>
      <w:r w:rsidR="00E12B0F">
        <w:rPr>
          <w:szCs w:val="24"/>
        </w:rPr>
        <w:t xml:space="preserve">partial </w:t>
      </w:r>
      <w:r w:rsidR="00AF6A82">
        <w:rPr>
          <w:szCs w:val="24"/>
        </w:rPr>
        <w:t>pressure</w:t>
      </w:r>
      <w:r w:rsidR="007B6C8D">
        <w:rPr>
          <w:szCs w:val="24"/>
        </w:rPr>
        <w:t xml:space="preserve"> </w:t>
      </w:r>
      <w:r w:rsidR="00E12B0F">
        <w:rPr>
          <w:szCs w:val="24"/>
        </w:rPr>
        <w:t>to</w:t>
      </w:r>
      <w:r w:rsidR="002D3753">
        <w:rPr>
          <w:szCs w:val="24"/>
        </w:rPr>
        <w:t xml:space="preserve"> </w:t>
      </w:r>
      <w:r w:rsidR="002D3753" w:rsidRPr="002D3753">
        <w:rPr>
          <w:i/>
          <w:szCs w:val="24"/>
        </w:rPr>
        <w:t>P</w:t>
      </w:r>
      <w:r w:rsidR="002D3753" w:rsidRPr="002D3753">
        <w:rPr>
          <w:szCs w:val="24"/>
        </w:rPr>
        <w:t>(</w:t>
      </w:r>
      <w:r w:rsidR="00E12B0F">
        <w:rPr>
          <w:szCs w:val="24"/>
        </w:rPr>
        <w:t>max</w:t>
      </w:r>
      <w:r w:rsidR="002D3753" w:rsidRPr="002D3753">
        <w:rPr>
          <w:szCs w:val="24"/>
        </w:rPr>
        <w:t>)</w:t>
      </w:r>
      <w:r w:rsidR="002D3753">
        <w:rPr>
          <w:i/>
          <w:szCs w:val="24"/>
        </w:rPr>
        <w:t xml:space="preserve"> </w:t>
      </w:r>
      <w:r w:rsidR="002D3753">
        <w:rPr>
          <w:szCs w:val="24"/>
        </w:rPr>
        <w:t xml:space="preserve">&lt; </w:t>
      </w:r>
      <w:r w:rsidR="00AF6A82">
        <w:rPr>
          <w:szCs w:val="24"/>
        </w:rPr>
        <w:t>1.6</w:t>
      </w:r>
      <w:r w:rsidR="002D3753">
        <w:rPr>
          <w:szCs w:val="24"/>
        </w:rPr>
        <w:t xml:space="preserve"> x 10</w:t>
      </w:r>
      <w:r w:rsidR="002D3753" w:rsidRPr="002D3753">
        <w:rPr>
          <w:szCs w:val="24"/>
          <w:vertAlign w:val="superscript"/>
        </w:rPr>
        <w:t>-9</w:t>
      </w:r>
      <w:r w:rsidR="007B6C8D">
        <w:rPr>
          <w:szCs w:val="24"/>
        </w:rPr>
        <w:t xml:space="preserve"> torr. Nevertheless</w:t>
      </w:r>
      <w:r w:rsidR="00875136">
        <w:rPr>
          <w:szCs w:val="24"/>
        </w:rPr>
        <w:t>,</w:t>
      </w:r>
      <w:r w:rsidR="007B6C8D">
        <w:rPr>
          <w:szCs w:val="24"/>
        </w:rPr>
        <w:t xml:space="preserve"> </w:t>
      </w:r>
      <w:r w:rsidR="00AF6A82">
        <w:rPr>
          <w:szCs w:val="24"/>
        </w:rPr>
        <w:t xml:space="preserve">such </w:t>
      </w:r>
      <w:r w:rsidR="007B6C8D">
        <w:rPr>
          <w:szCs w:val="24"/>
        </w:rPr>
        <w:t>limit</w:t>
      </w:r>
      <w:r w:rsidR="00875136">
        <w:rPr>
          <w:szCs w:val="24"/>
        </w:rPr>
        <w:t>s</w:t>
      </w:r>
      <w:r w:rsidR="007B6C8D">
        <w:rPr>
          <w:szCs w:val="24"/>
        </w:rPr>
        <w:t xml:space="preserve">, measured </w:t>
      </w:r>
      <w:r w:rsidR="00875136">
        <w:rPr>
          <w:szCs w:val="24"/>
        </w:rPr>
        <w:t xml:space="preserve">very </w:t>
      </w:r>
      <w:r w:rsidR="00021940">
        <w:rPr>
          <w:szCs w:val="24"/>
        </w:rPr>
        <w:t>near</w:t>
      </w:r>
      <w:r w:rsidR="007B6C8D">
        <w:rPr>
          <w:szCs w:val="24"/>
        </w:rPr>
        <w:t xml:space="preserve"> the original leak, </w:t>
      </w:r>
      <w:r w:rsidR="00875136">
        <w:rPr>
          <w:szCs w:val="24"/>
        </w:rPr>
        <w:t>confirm that</w:t>
      </w:r>
      <w:r w:rsidR="007B6C8D">
        <w:rPr>
          <w:szCs w:val="24"/>
        </w:rPr>
        <w:t xml:space="preserve"> </w:t>
      </w:r>
      <w:r w:rsidR="00821C62">
        <w:rPr>
          <w:szCs w:val="24"/>
        </w:rPr>
        <w:t xml:space="preserve">the </w:t>
      </w:r>
      <w:r w:rsidR="00C42791">
        <w:rPr>
          <w:szCs w:val="24"/>
        </w:rPr>
        <w:t xml:space="preserve">absorption/reemission </w:t>
      </w:r>
      <w:r w:rsidR="00821C62">
        <w:rPr>
          <w:szCs w:val="24"/>
        </w:rPr>
        <w:t>model is far too pessimistic. M</w:t>
      </w:r>
      <w:r w:rsidR="007B6C8D">
        <w:rPr>
          <w:szCs w:val="24"/>
        </w:rPr>
        <w:t xml:space="preserve">ore work is needed to </w:t>
      </w:r>
      <w:r w:rsidR="00B21C3B">
        <w:rPr>
          <w:szCs w:val="24"/>
        </w:rPr>
        <w:t xml:space="preserve">model and </w:t>
      </w:r>
      <w:r w:rsidR="007B6C8D">
        <w:rPr>
          <w:szCs w:val="24"/>
        </w:rPr>
        <w:t xml:space="preserve">understand persistent effects of vapor </w:t>
      </w:r>
      <w:r w:rsidR="00B15944">
        <w:rPr>
          <w:szCs w:val="24"/>
        </w:rPr>
        <w:t>re</w:t>
      </w:r>
      <w:r w:rsidR="007B6C8D">
        <w:rPr>
          <w:szCs w:val="24"/>
        </w:rPr>
        <w:t xml:space="preserve">exposure. </w:t>
      </w:r>
    </w:p>
    <w:p w14:paraId="0FCD9CFB" w14:textId="77777777" w:rsidR="00890125" w:rsidRDefault="00890125" w:rsidP="0022686F">
      <w:pPr>
        <w:jc w:val="both"/>
        <w:rPr>
          <w:szCs w:val="24"/>
        </w:rPr>
      </w:pPr>
    </w:p>
    <w:p w14:paraId="5E0BF17F" w14:textId="08ED1163" w:rsidR="00890125" w:rsidRDefault="00A8641F" w:rsidP="0022686F">
      <w:pPr>
        <w:jc w:val="both"/>
        <w:rPr>
          <w:szCs w:val="24"/>
        </w:rPr>
      </w:pPr>
      <w:r>
        <w:rPr>
          <w:szCs w:val="24"/>
        </w:rPr>
        <w:t xml:space="preserve">A </w:t>
      </w:r>
      <w:r w:rsidR="00B21C3B">
        <w:rPr>
          <w:szCs w:val="24"/>
        </w:rPr>
        <w:t>finite element</w:t>
      </w:r>
      <w:r w:rsidR="00C42791">
        <w:rPr>
          <w:szCs w:val="24"/>
        </w:rPr>
        <w:t xml:space="preserve"> </w:t>
      </w:r>
      <w:r>
        <w:rPr>
          <w:szCs w:val="24"/>
        </w:rPr>
        <w:t>model was constructed to eval</w:t>
      </w:r>
      <w:r w:rsidR="00875136">
        <w:rPr>
          <w:szCs w:val="24"/>
        </w:rPr>
        <w:t xml:space="preserve">uate refractive index </w:t>
      </w:r>
      <w:r>
        <w:rPr>
          <w:szCs w:val="24"/>
        </w:rPr>
        <w:t xml:space="preserve">effects of the </w:t>
      </w:r>
      <w:r w:rsidR="00B21C3B">
        <w:rPr>
          <w:szCs w:val="24"/>
        </w:rPr>
        <w:t>observ</w:t>
      </w:r>
      <w:r w:rsidR="00C42791">
        <w:rPr>
          <w:szCs w:val="24"/>
        </w:rPr>
        <w:t>ed</w:t>
      </w:r>
      <w:r>
        <w:rPr>
          <w:szCs w:val="24"/>
        </w:rPr>
        <w:t xml:space="preserve"> water vapor</w:t>
      </w:r>
      <w:r w:rsidR="003F4E00">
        <w:rPr>
          <w:szCs w:val="24"/>
        </w:rPr>
        <w:t>,</w:t>
      </w:r>
      <w:r>
        <w:rPr>
          <w:szCs w:val="24"/>
        </w:rPr>
        <w:t xml:space="preserve"> and to plan </w:t>
      </w:r>
      <w:r w:rsidR="00821C62">
        <w:rPr>
          <w:szCs w:val="24"/>
        </w:rPr>
        <w:t>installation</w:t>
      </w:r>
      <w:r>
        <w:rPr>
          <w:szCs w:val="24"/>
        </w:rPr>
        <w:t xml:space="preserve"> of pumps to mitigate them. </w:t>
      </w:r>
      <w:r w:rsidR="00021940">
        <w:rPr>
          <w:szCs w:val="24"/>
        </w:rPr>
        <w:t>A</w:t>
      </w:r>
      <w:r>
        <w:rPr>
          <w:szCs w:val="24"/>
        </w:rPr>
        <w:t xml:space="preserve"> uniform water outgassing rate of </w:t>
      </w:r>
      <w:r w:rsidRPr="00821C62">
        <w:rPr>
          <w:i/>
          <w:szCs w:val="24"/>
        </w:rPr>
        <w:t>J</w:t>
      </w:r>
      <w:r w:rsidR="00821C62" w:rsidRPr="00EE0714">
        <w:rPr>
          <w:i/>
          <w:szCs w:val="24"/>
        </w:rPr>
        <w:t>(H</w:t>
      </w:r>
      <w:r w:rsidR="00821C62" w:rsidRPr="00EE0714">
        <w:rPr>
          <w:i/>
          <w:szCs w:val="24"/>
          <w:vertAlign w:val="subscript"/>
        </w:rPr>
        <w:t>2</w:t>
      </w:r>
      <w:r w:rsidR="00821C62" w:rsidRPr="00EE0714">
        <w:rPr>
          <w:i/>
          <w:szCs w:val="24"/>
        </w:rPr>
        <w:t>O)</w:t>
      </w:r>
      <w:r w:rsidR="00B21C3B">
        <w:rPr>
          <w:szCs w:val="24"/>
        </w:rPr>
        <w:t>=1</w:t>
      </w:r>
      <w:r w:rsidR="00991521">
        <w:rPr>
          <w:szCs w:val="24"/>
        </w:rPr>
        <w:t>.3x</w:t>
      </w:r>
      <w:r>
        <w:rPr>
          <w:szCs w:val="24"/>
        </w:rPr>
        <w:t>10</w:t>
      </w:r>
      <w:r w:rsidRPr="00A8641F">
        <w:rPr>
          <w:szCs w:val="24"/>
          <w:vertAlign w:val="superscript"/>
        </w:rPr>
        <w:t>-15</w:t>
      </w:r>
      <w:r>
        <w:rPr>
          <w:szCs w:val="24"/>
        </w:rPr>
        <w:t xml:space="preserve"> Tl/s/cm</w:t>
      </w:r>
      <w:r w:rsidRPr="00A8641F">
        <w:rPr>
          <w:szCs w:val="24"/>
          <w:vertAlign w:val="superscript"/>
        </w:rPr>
        <w:t>2</w:t>
      </w:r>
      <w:r w:rsidR="00021940">
        <w:rPr>
          <w:szCs w:val="24"/>
          <w:vertAlign w:val="superscript"/>
        </w:rPr>
        <w:t xml:space="preserve"> </w:t>
      </w:r>
      <w:r w:rsidR="00021940">
        <w:rPr>
          <w:szCs w:val="24"/>
        </w:rPr>
        <w:t xml:space="preserve">was </w:t>
      </w:r>
      <w:r w:rsidR="00B21C3B">
        <w:rPr>
          <w:szCs w:val="24"/>
        </w:rPr>
        <w:t>adopted for the simulation</w:t>
      </w:r>
      <w:r w:rsidR="003F4E00">
        <w:rPr>
          <w:szCs w:val="24"/>
        </w:rPr>
        <w:t xml:space="preserve">, </w:t>
      </w:r>
      <w:r w:rsidR="00991521">
        <w:rPr>
          <w:szCs w:val="24"/>
        </w:rPr>
        <w:t>based on</w:t>
      </w:r>
      <w:r w:rsidR="003F4E00">
        <w:rPr>
          <w:szCs w:val="24"/>
        </w:rPr>
        <w:t xml:space="preserve"> the November </w:t>
      </w:r>
      <w:r>
        <w:rPr>
          <w:szCs w:val="24"/>
        </w:rPr>
        <w:t xml:space="preserve">2014 measurement. </w:t>
      </w:r>
    </w:p>
    <w:p w14:paraId="297CFDFE" w14:textId="6FF323A4" w:rsidR="00460929" w:rsidRPr="00460929" w:rsidRDefault="00460929" w:rsidP="003613A8">
      <w:pPr>
        <w:rPr>
          <w:szCs w:val="24"/>
        </w:rPr>
      </w:pPr>
    </w:p>
    <w:p w14:paraId="2C25B38C" w14:textId="7BF7F255" w:rsidR="00B221D7" w:rsidRDefault="007B7F9C" w:rsidP="00917F3B">
      <w:pPr>
        <w:pStyle w:val="RegPara"/>
        <w:jc w:val="both"/>
      </w:pPr>
      <w:r>
        <w:rPr>
          <w:b/>
        </w:rPr>
        <w:t>Method</w:t>
      </w:r>
      <w:r w:rsidR="006B029A" w:rsidRPr="006B029A">
        <w:rPr>
          <w:b/>
        </w:rPr>
        <w:t>:</w:t>
      </w:r>
      <w:r w:rsidR="006B029A">
        <w:t xml:space="preserve"> </w:t>
      </w:r>
      <w:r w:rsidR="002D147E">
        <w:t xml:space="preserve">The tube </w:t>
      </w:r>
      <w:r w:rsidR="003C24EF">
        <w:t>i</w:t>
      </w:r>
      <w:r w:rsidR="00386B6D">
        <w:t>s</w:t>
      </w:r>
      <w:r w:rsidR="002D147E">
        <w:t xml:space="preserve"> </w:t>
      </w:r>
      <w:r w:rsidR="003C24EF">
        <w:t>approximated as</w:t>
      </w:r>
      <w:r w:rsidR="002D147E">
        <w:t xml:space="preserve"> 8</w:t>
      </w:r>
      <w:r w:rsidR="00F00070">
        <w:t>1</w:t>
      </w:r>
      <w:r w:rsidR="002D147E">
        <w:t xml:space="preserve"> </w:t>
      </w:r>
      <w:r w:rsidR="00386B6D">
        <w:t>discrete</w:t>
      </w:r>
      <w:r w:rsidR="00B221D7">
        <w:t xml:space="preserve"> </w:t>
      </w:r>
      <w:r w:rsidR="002D147E">
        <w:t>nodes</w:t>
      </w:r>
      <w:r w:rsidR="002C1D00">
        <w:t>. Each is furnished</w:t>
      </w:r>
      <w:r w:rsidR="00B221D7">
        <w:t xml:space="preserve"> </w:t>
      </w:r>
      <w:r w:rsidR="00121F14">
        <w:t xml:space="preserve">a share of </w:t>
      </w:r>
      <w:r w:rsidR="00B221D7">
        <w:t xml:space="preserve">outgassing </w:t>
      </w:r>
      <w:r w:rsidR="00121F14">
        <w:t xml:space="preserve">current </w:t>
      </w:r>
      <w:r w:rsidR="00B221D7">
        <w:t xml:space="preserve">and </w:t>
      </w:r>
      <w:r w:rsidR="002B71EC">
        <w:t xml:space="preserve">is </w:t>
      </w:r>
      <w:r w:rsidR="002D147E">
        <w:t xml:space="preserve">joined </w:t>
      </w:r>
      <w:r w:rsidR="00B221D7">
        <w:t xml:space="preserve">to its neighbors </w:t>
      </w:r>
      <w:r w:rsidR="002D147E">
        <w:t>by discrete conductances</w:t>
      </w:r>
      <w:r w:rsidR="00B221D7">
        <w:t xml:space="preserve">. Nodes </w:t>
      </w:r>
      <w:r w:rsidR="002D147E">
        <w:t xml:space="preserve">corresponding to ends and to </w:t>
      </w:r>
      <w:r w:rsidR="000D474B">
        <w:t>physical</w:t>
      </w:r>
      <w:r w:rsidR="002D147E">
        <w:t xml:space="preserve"> pump port locations</w:t>
      </w:r>
      <w:r w:rsidR="000D474B">
        <w:rPr>
          <w:rStyle w:val="FootnoteReference"/>
        </w:rPr>
        <w:footnoteReference w:id="5"/>
      </w:r>
      <w:r w:rsidR="00B221D7">
        <w:t xml:space="preserve"> </w:t>
      </w:r>
      <w:r w:rsidR="000D474B">
        <w:t>are</w:t>
      </w:r>
      <w:r w:rsidR="00B221D7">
        <w:t xml:space="preserve"> optionally supplied with p</w:t>
      </w:r>
      <w:r w:rsidR="00386B6D">
        <w:t xml:space="preserve">umps. </w:t>
      </w:r>
      <w:r w:rsidR="00E12B0F">
        <w:t>E</w:t>
      </w:r>
      <w:r w:rsidR="00B221D7">
        <w:t>nd</w:t>
      </w:r>
      <w:r w:rsidR="00386B6D">
        <w:t xml:space="preserve"> node</w:t>
      </w:r>
      <w:r w:rsidR="00E12B0F">
        <w:t>s</w:t>
      </w:r>
      <w:r w:rsidR="00B221D7">
        <w:t xml:space="preserve"> </w:t>
      </w:r>
      <w:r w:rsidR="00E12B0F">
        <w:t>are each</w:t>
      </w:r>
      <w:r w:rsidR="00B221D7">
        <w:t xml:space="preserve"> assigne</w:t>
      </w:r>
      <w:r w:rsidR="00B0680C">
        <w:t>d 100,000 l/s effective speed</w:t>
      </w:r>
      <w:r w:rsidR="00B21C3B">
        <w:t>, representing the LN</w:t>
      </w:r>
      <w:r w:rsidR="00B21C3B" w:rsidRPr="00386B6D">
        <w:rPr>
          <w:vertAlign w:val="subscript"/>
        </w:rPr>
        <w:t>2</w:t>
      </w:r>
      <w:r w:rsidR="00B21C3B">
        <w:t xml:space="preserve"> cryopumps</w:t>
      </w:r>
      <w:r w:rsidR="00B221D7">
        <w:t>. Ion pump</w:t>
      </w:r>
      <w:r w:rsidR="00B0680C">
        <w:t xml:space="preserve"> nodes</w:t>
      </w:r>
      <w:r w:rsidR="00B221D7">
        <w:t xml:space="preserve"> at </w:t>
      </w:r>
      <w:r w:rsidR="00B21C3B">
        <w:t>designa</w:t>
      </w:r>
      <w:r w:rsidR="00B221D7">
        <w:t xml:space="preserve">ted port locations </w:t>
      </w:r>
      <w:r w:rsidR="002C1D00">
        <w:t>a</w:t>
      </w:r>
      <w:r w:rsidR="00B221D7">
        <w:t xml:space="preserve">re </w:t>
      </w:r>
      <w:r w:rsidR="002C1D00">
        <w:t xml:space="preserve">each </w:t>
      </w:r>
      <w:r w:rsidR="00B0680C">
        <w:t>assigned</w:t>
      </w:r>
      <w:r w:rsidR="00B21C3B">
        <w:t xml:space="preserve"> the characteristic</w:t>
      </w:r>
      <w:r w:rsidR="002C1D00">
        <w:t xml:space="preserve"> water vapor</w:t>
      </w:r>
      <w:r w:rsidR="00B0680C">
        <w:t xml:space="preserve"> </w:t>
      </w:r>
      <w:r w:rsidR="00B221D7">
        <w:t>sp</w:t>
      </w:r>
      <w:r w:rsidR="00B0680C">
        <w:t>eed</w:t>
      </w:r>
      <w:r w:rsidR="00B21C3B">
        <w:t xml:space="preserve"> specified for a large commercial ion pump</w:t>
      </w:r>
      <w:r w:rsidR="00B221D7">
        <w:t>, derated for tubulation loss</w:t>
      </w:r>
      <w:r w:rsidR="002C1D00">
        <w:rPr>
          <w:rStyle w:val="FootnoteReference"/>
        </w:rPr>
        <w:footnoteReference w:id="6"/>
      </w:r>
      <w:r w:rsidR="00B221D7">
        <w:t xml:space="preserve">. </w:t>
      </w:r>
      <w:r w:rsidR="002D147E">
        <w:t xml:space="preserve"> </w:t>
      </w:r>
      <w:r w:rsidR="00B0680C">
        <w:t>All pump speeds were presumed independent of pressure.</w:t>
      </w:r>
    </w:p>
    <w:p w14:paraId="055B7E48" w14:textId="77777777" w:rsidR="00B221D7" w:rsidRDefault="00B221D7" w:rsidP="00917F3B">
      <w:pPr>
        <w:pStyle w:val="RegPara"/>
        <w:jc w:val="both"/>
      </w:pPr>
    </w:p>
    <w:p w14:paraId="62B687CE" w14:textId="37361DB9" w:rsidR="0097753C" w:rsidRDefault="00B21C3B" w:rsidP="00917F3B">
      <w:pPr>
        <w:pStyle w:val="RegPara"/>
        <w:jc w:val="both"/>
      </w:pPr>
      <w:r>
        <w:t>The n</w:t>
      </w:r>
      <w:r w:rsidR="00B221D7">
        <w:t>odes were initialized and then iteratively relaxed to balance influx, exhaust</w:t>
      </w:r>
      <w:r w:rsidR="00B0680C">
        <w:t>,</w:t>
      </w:r>
      <w:r w:rsidR="00B221D7">
        <w:t xml:space="preserve"> and conduction with neighbors</w:t>
      </w:r>
      <w:r w:rsidR="00386B6D">
        <w:t>,</w:t>
      </w:r>
      <w:r w:rsidR="00B221D7">
        <w:t xml:space="preserve"> until successive iterations differed by less than 0.5%</w:t>
      </w:r>
      <w:r w:rsidR="00B0680C">
        <w:t xml:space="preserve"> everywhere</w:t>
      </w:r>
      <w:r w:rsidR="00B221D7">
        <w:t>.</w:t>
      </w:r>
      <w:r w:rsidR="00121F14">
        <w:rPr>
          <w:rStyle w:val="FootnoteReference"/>
        </w:rPr>
        <w:footnoteReference w:id="7"/>
      </w:r>
    </w:p>
    <w:p w14:paraId="0021044B" w14:textId="77777777" w:rsidR="00386B6D" w:rsidRDefault="00386B6D" w:rsidP="00917F3B">
      <w:pPr>
        <w:pStyle w:val="RegPara"/>
        <w:jc w:val="both"/>
      </w:pPr>
    </w:p>
    <w:p w14:paraId="7BAF2182" w14:textId="7B014A1A" w:rsidR="00F00070" w:rsidRDefault="00386B6D" w:rsidP="00917F3B">
      <w:pPr>
        <w:pStyle w:val="RegPara"/>
        <w:jc w:val="both"/>
      </w:pPr>
      <w:r>
        <w:t xml:space="preserve">Pressure profiles derived </w:t>
      </w:r>
      <w:r w:rsidR="00C03EB9">
        <w:t xml:space="preserve">in this way </w:t>
      </w:r>
      <w:r>
        <w:t>for each pumping configuration were then integrated with the aLIGO arm cavity beam profile</w:t>
      </w:r>
      <w:r>
        <w:rPr>
          <w:rStyle w:val="FootnoteReference"/>
        </w:rPr>
        <w:footnoteReference w:id="8"/>
      </w:r>
      <w:r>
        <w:t xml:space="preserve"> according to </w:t>
      </w:r>
      <w:hyperlink r:id="rId10" w:history="1">
        <w:r w:rsidRPr="00467D05">
          <w:rPr>
            <w:rStyle w:val="Hyperlink"/>
          </w:rPr>
          <w:t>P940008</w:t>
        </w:r>
      </w:hyperlink>
      <w:r>
        <w:t xml:space="preserve"> eq. (1).</w:t>
      </w:r>
      <w:r>
        <w:rPr>
          <w:rStyle w:val="FootnoteReference"/>
        </w:rPr>
        <w:footnoteReference w:id="9"/>
      </w:r>
      <w:r w:rsidR="00F00070">
        <w:t xml:space="preserve">  Five cases were evaluated:</w:t>
      </w:r>
    </w:p>
    <w:p w14:paraId="71BE438C" w14:textId="77777777" w:rsidR="0006291F" w:rsidRDefault="0006291F" w:rsidP="00917F3B">
      <w:pPr>
        <w:pStyle w:val="RegPara"/>
        <w:jc w:val="both"/>
      </w:pPr>
    </w:p>
    <w:p w14:paraId="76BF7A5A" w14:textId="4EAE86AE" w:rsidR="00386B6D" w:rsidRDefault="00F00070" w:rsidP="00F00070">
      <w:pPr>
        <w:pStyle w:val="RegPara"/>
        <w:numPr>
          <w:ilvl w:val="0"/>
          <w:numId w:val="15"/>
        </w:numPr>
        <w:jc w:val="both"/>
      </w:pPr>
      <w:r>
        <w:t xml:space="preserve">No additional pumps, only </w:t>
      </w:r>
      <w:r w:rsidR="00C03EB9">
        <w:t xml:space="preserve">the fixed </w:t>
      </w:r>
      <w:r>
        <w:t>cryopumps at vertex and end station</w:t>
      </w:r>
      <w:r w:rsidR="00C03EB9">
        <w:t>s</w:t>
      </w:r>
      <w:r>
        <w:t>.</w:t>
      </w:r>
    </w:p>
    <w:p w14:paraId="0B26B7DE" w14:textId="187191D6" w:rsidR="00F00070" w:rsidRDefault="00F00070" w:rsidP="00F00070">
      <w:pPr>
        <w:pStyle w:val="RegPara"/>
        <w:numPr>
          <w:ilvl w:val="0"/>
          <w:numId w:val="15"/>
        </w:numPr>
        <w:jc w:val="both"/>
      </w:pPr>
      <w:r>
        <w:t xml:space="preserve">A single ion pump </w:t>
      </w:r>
      <w:r w:rsidR="0006291F">
        <w:t>add</w:t>
      </w:r>
      <w:r>
        <w:t>ed at the midstation (MY)</w:t>
      </w:r>
      <w:r w:rsidR="00C03EB9">
        <w:t>.</w:t>
      </w:r>
    </w:p>
    <w:p w14:paraId="2BD93286" w14:textId="57F4834D" w:rsidR="00F00070" w:rsidRDefault="00F00070" w:rsidP="00F00070">
      <w:pPr>
        <w:pStyle w:val="RegPara"/>
        <w:numPr>
          <w:ilvl w:val="0"/>
          <w:numId w:val="15"/>
        </w:numPr>
        <w:jc w:val="both"/>
      </w:pPr>
      <w:r>
        <w:t xml:space="preserve">Two ion pumps, one at MY and one at Y1-7 </w:t>
      </w:r>
      <w:r w:rsidR="0003582B">
        <w:t>(</w:t>
      </w:r>
      <w:r>
        <w:t>next adjacent port toward the vertex</w:t>
      </w:r>
      <w:r w:rsidR="0003582B">
        <w:t>)</w:t>
      </w:r>
      <w:r>
        <w:t>. These straddle the location of the cavity beam waist.</w:t>
      </w:r>
    </w:p>
    <w:p w14:paraId="6DBE04EB" w14:textId="23AE6985" w:rsidR="00F00070" w:rsidRDefault="00C03EB9" w:rsidP="00F00070">
      <w:pPr>
        <w:pStyle w:val="RegPara"/>
        <w:numPr>
          <w:ilvl w:val="0"/>
          <w:numId w:val="15"/>
        </w:numPr>
        <w:jc w:val="both"/>
      </w:pPr>
      <w:r>
        <w:t>Add</w:t>
      </w:r>
      <w:r w:rsidR="00F00070">
        <w:t xml:space="preserve"> </w:t>
      </w:r>
      <w:r w:rsidR="00E12B0F">
        <w:t xml:space="preserve">to these two more at </w:t>
      </w:r>
      <w:r w:rsidR="00F00070">
        <w:t xml:space="preserve">Y1-6 and Y2-1, the next </w:t>
      </w:r>
      <w:r w:rsidR="0006291F">
        <w:t xml:space="preserve">available </w:t>
      </w:r>
      <w:r w:rsidR="00F00070">
        <w:t>port</w:t>
      </w:r>
      <w:r w:rsidR="0006291F">
        <w:t>s</w:t>
      </w:r>
      <w:r w:rsidR="00E12B0F">
        <w:t xml:space="preserve"> toward the vertex and end, </w:t>
      </w:r>
      <w:r w:rsidR="00F00070">
        <w:t>respectively</w:t>
      </w:r>
      <w:r w:rsidR="0006291F">
        <w:t xml:space="preserve"> (</w:t>
      </w:r>
      <w:r>
        <w:t>four</w:t>
      </w:r>
      <w:r w:rsidR="0006291F">
        <w:t xml:space="preserve">, centered </w:t>
      </w:r>
      <w:r w:rsidR="00B21C3B">
        <w:t>over</w:t>
      </w:r>
      <w:r w:rsidR="0006291F">
        <w:t xml:space="preserve"> the beam waist)</w:t>
      </w:r>
      <w:r w:rsidR="00E12B0F">
        <w:t>.</w:t>
      </w:r>
    </w:p>
    <w:p w14:paraId="18336797" w14:textId="7512D2ED" w:rsidR="00756107" w:rsidRPr="00756107" w:rsidRDefault="00F00070" w:rsidP="0003582B">
      <w:pPr>
        <w:pStyle w:val="RegPara"/>
        <w:numPr>
          <w:ilvl w:val="0"/>
          <w:numId w:val="15"/>
        </w:numPr>
        <w:jc w:val="both"/>
      </w:pPr>
      <w:r>
        <w:t>All possible pumps</w:t>
      </w:r>
      <w:r w:rsidR="00C03EB9">
        <w:t>,</w:t>
      </w:r>
      <w:r>
        <w:t xml:space="preserve"> </w:t>
      </w:r>
      <w:r w:rsidR="0006291F">
        <w:t xml:space="preserve">using every </w:t>
      </w:r>
      <w:r w:rsidR="00E12B0F">
        <w:t xml:space="preserve">valve </w:t>
      </w:r>
      <w:r w:rsidR="0006291F">
        <w:t xml:space="preserve">location </w:t>
      </w:r>
      <w:r>
        <w:t>(a total of 15</w:t>
      </w:r>
      <w:r w:rsidR="0006291F">
        <w:t xml:space="preserve"> ion pumps</w:t>
      </w:r>
      <w:r w:rsidR="00B21C3B">
        <w:t>,</w:t>
      </w:r>
      <w:r w:rsidR="0006291F">
        <w:t xml:space="preserve"> in addition to the </w:t>
      </w:r>
      <w:r w:rsidR="00E12B0F">
        <w:t xml:space="preserve">two fixed </w:t>
      </w:r>
      <w:r w:rsidR="0006291F">
        <w:t>cryopumps</w:t>
      </w:r>
      <w:r>
        <w:t>)</w:t>
      </w:r>
      <w:r w:rsidR="00E12B0F">
        <w:t>.</w:t>
      </w:r>
      <w:r w:rsidR="0006291F">
        <w:t xml:space="preserve"> </w:t>
      </w:r>
    </w:p>
    <w:p w14:paraId="36F9B9A6" w14:textId="77777777" w:rsidR="002D0040" w:rsidRDefault="002D0040" w:rsidP="00220FBA">
      <w:pPr>
        <w:pStyle w:val="Caption"/>
        <w:jc w:val="center"/>
      </w:pPr>
    </w:p>
    <w:p w14:paraId="710FA2B4" w14:textId="597FE6E6" w:rsidR="00220FBA" w:rsidRDefault="001133AE" w:rsidP="00220FBA">
      <w:pPr>
        <w:pStyle w:val="Caption"/>
        <w:jc w:val="center"/>
      </w:pPr>
      <w:r>
        <w:rPr>
          <w:noProof/>
        </w:rPr>
        <w:drawing>
          <wp:inline distT="0" distB="0" distL="0" distR="0" wp14:anchorId="49EBCAD9" wp14:editId="71B1D3AB">
            <wp:extent cx="5156257" cy="4343400"/>
            <wp:effectExtent l="0" t="0" r="0" b="0"/>
            <wp:docPr id="14" name="Picture 14" descr="Macintosh HD:Users:mike:Documents:Vacuum:LLO_YLEAK:WaterModel:Fi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mike:Documents:Vacuum:LLO_YLEAK:WaterModel:Fig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851" cy="4344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6982F" w14:textId="2734A5F6" w:rsidR="00220FBA" w:rsidRPr="0003582B" w:rsidRDefault="00220FBA" w:rsidP="0003582B">
      <w:pPr>
        <w:pStyle w:val="Caption"/>
        <w:jc w:val="center"/>
      </w:pPr>
      <w:bookmarkStart w:id="1" w:name="_Ref291851771"/>
      <w:r>
        <w:t xml:space="preserve">Figure </w:t>
      </w:r>
      <w:fldSimple w:instr=" SEQ Figure \* ARABIC ">
        <w:r w:rsidR="00F447D3">
          <w:rPr>
            <w:noProof/>
          </w:rPr>
          <w:t>1</w:t>
        </w:r>
      </w:fldSimple>
      <w:bookmarkEnd w:id="1"/>
      <w:r>
        <w:t xml:space="preserve">: Pressure profiles for five ion pump arrangements with </w:t>
      </w:r>
      <w:r w:rsidRPr="0003582B">
        <w:rPr>
          <w:i/>
        </w:rPr>
        <w:t>J(H</w:t>
      </w:r>
      <w:r w:rsidRPr="0003582B">
        <w:rPr>
          <w:i/>
          <w:vertAlign w:val="subscript"/>
        </w:rPr>
        <w:t>2</w:t>
      </w:r>
      <w:r w:rsidRPr="0003582B">
        <w:rPr>
          <w:i/>
        </w:rPr>
        <w:t>0)</w:t>
      </w:r>
      <w:r>
        <w:t xml:space="preserve"> = </w:t>
      </w:r>
      <w:r w:rsidR="0003582B">
        <w:t>1.3</w:t>
      </w:r>
      <w:r>
        <w:t xml:space="preserve"> x10</w:t>
      </w:r>
      <w:r w:rsidRPr="00220FBA">
        <w:rPr>
          <w:vertAlign w:val="superscript"/>
        </w:rPr>
        <w:t>-15</w:t>
      </w:r>
      <w:r>
        <w:t xml:space="preserve"> Tl/s/cm</w:t>
      </w:r>
      <w:r w:rsidRPr="007071B9">
        <w:rPr>
          <w:vertAlign w:val="superscript"/>
        </w:rPr>
        <w:t>2</w:t>
      </w:r>
      <w:r w:rsidR="0003582B">
        <w:t>.</w:t>
      </w:r>
    </w:p>
    <w:p w14:paraId="4E124B4B" w14:textId="77777777" w:rsidR="00C03EB9" w:rsidRDefault="00C03EB9" w:rsidP="00220FBA">
      <w:pPr>
        <w:jc w:val="both"/>
        <w:rPr>
          <w:b/>
          <w:szCs w:val="24"/>
        </w:rPr>
      </w:pPr>
    </w:p>
    <w:p w14:paraId="464C0C6E" w14:textId="2347A44D" w:rsidR="00220FBA" w:rsidRPr="002B71EC" w:rsidRDefault="00A12C3A" w:rsidP="00220FBA">
      <w:pPr>
        <w:jc w:val="both"/>
        <w:rPr>
          <w:szCs w:val="24"/>
        </w:rPr>
      </w:pPr>
      <w:r w:rsidRPr="002B71EC">
        <w:rPr>
          <w:b/>
          <w:szCs w:val="24"/>
        </w:rPr>
        <w:t>Results</w:t>
      </w:r>
      <w:r w:rsidR="007B7F9C" w:rsidRPr="002B71EC">
        <w:rPr>
          <w:b/>
          <w:szCs w:val="24"/>
        </w:rPr>
        <w:t>:</w:t>
      </w:r>
      <w:r w:rsidR="007B7F9C" w:rsidRPr="002B71EC">
        <w:rPr>
          <w:szCs w:val="24"/>
        </w:rPr>
        <w:t xml:space="preserve"> </w:t>
      </w:r>
      <w:r w:rsidR="0006291F" w:rsidRPr="002B71EC">
        <w:rPr>
          <w:szCs w:val="24"/>
        </w:rPr>
        <w:t xml:space="preserve"> Pressure </w:t>
      </w:r>
      <w:r w:rsidR="00FE7161" w:rsidRPr="002B71EC">
        <w:rPr>
          <w:szCs w:val="24"/>
        </w:rPr>
        <w:t>profiles</w:t>
      </w:r>
      <w:r w:rsidR="0006291F" w:rsidRPr="002B71EC">
        <w:rPr>
          <w:szCs w:val="24"/>
        </w:rPr>
        <w:t xml:space="preserve"> </w:t>
      </w:r>
      <w:r w:rsidR="00FE7161" w:rsidRPr="002B71EC">
        <w:rPr>
          <w:szCs w:val="24"/>
        </w:rPr>
        <w:t xml:space="preserve">are </w:t>
      </w:r>
      <w:r w:rsidR="00FE7161" w:rsidRPr="00E12B0F">
        <w:rPr>
          <w:szCs w:val="24"/>
        </w:rPr>
        <w:t xml:space="preserve">shown in </w:t>
      </w:r>
      <w:r w:rsidR="00FE7161" w:rsidRPr="00E12B0F">
        <w:rPr>
          <w:szCs w:val="24"/>
        </w:rPr>
        <w:fldChar w:fldCharType="begin"/>
      </w:r>
      <w:r w:rsidR="00FE7161" w:rsidRPr="00E12B0F">
        <w:rPr>
          <w:szCs w:val="24"/>
        </w:rPr>
        <w:instrText xml:space="preserve"> REF _Ref291851771 \h </w:instrText>
      </w:r>
      <w:r w:rsidR="00FE7161" w:rsidRPr="00E12B0F">
        <w:rPr>
          <w:szCs w:val="24"/>
        </w:rPr>
      </w:r>
      <w:r w:rsidR="00FE7161" w:rsidRPr="00E12B0F">
        <w:rPr>
          <w:szCs w:val="24"/>
        </w:rPr>
        <w:fldChar w:fldCharType="separate"/>
      </w:r>
      <w:r w:rsidR="00F447D3">
        <w:t xml:space="preserve">Figure </w:t>
      </w:r>
      <w:r w:rsidR="00F447D3">
        <w:rPr>
          <w:noProof/>
        </w:rPr>
        <w:t>1</w:t>
      </w:r>
      <w:r w:rsidR="00FE7161" w:rsidRPr="00E12B0F">
        <w:rPr>
          <w:szCs w:val="24"/>
        </w:rPr>
        <w:fldChar w:fldCharType="end"/>
      </w:r>
      <w:r w:rsidR="00FE7161" w:rsidRPr="00E12B0F">
        <w:rPr>
          <w:szCs w:val="24"/>
        </w:rPr>
        <w:t xml:space="preserve">. </w:t>
      </w:r>
      <w:r w:rsidR="005B0684" w:rsidRPr="00E12B0F">
        <w:rPr>
          <w:szCs w:val="24"/>
        </w:rPr>
        <w:t>As a check</w:t>
      </w:r>
      <w:r w:rsidR="005B0684">
        <w:rPr>
          <w:szCs w:val="24"/>
        </w:rPr>
        <w:t>, limiting c</w:t>
      </w:r>
      <w:r w:rsidR="00FE7161" w:rsidRPr="002B71EC">
        <w:rPr>
          <w:szCs w:val="24"/>
        </w:rPr>
        <w:t>ases</w:t>
      </w:r>
      <w:r w:rsidR="0006291F" w:rsidRPr="002B71EC">
        <w:rPr>
          <w:szCs w:val="24"/>
        </w:rPr>
        <w:t xml:space="preserve"> 1 and 5 </w:t>
      </w:r>
      <w:r w:rsidR="00821C62" w:rsidRPr="002B71EC">
        <w:rPr>
          <w:szCs w:val="24"/>
        </w:rPr>
        <w:t xml:space="preserve">are seen to </w:t>
      </w:r>
      <w:r w:rsidR="005B0684">
        <w:rPr>
          <w:szCs w:val="24"/>
        </w:rPr>
        <w:t>match</w:t>
      </w:r>
      <w:r w:rsidR="0006291F" w:rsidRPr="002B71EC">
        <w:rPr>
          <w:szCs w:val="24"/>
        </w:rPr>
        <w:t xml:space="preserve"> the</w:t>
      </w:r>
      <w:r w:rsidR="00FE7161" w:rsidRPr="002B71EC">
        <w:rPr>
          <w:szCs w:val="24"/>
        </w:rPr>
        <w:t>ir</w:t>
      </w:r>
      <w:r w:rsidR="0006291F" w:rsidRPr="002B71EC">
        <w:rPr>
          <w:szCs w:val="24"/>
        </w:rPr>
        <w:t xml:space="preserve"> corresponding </w:t>
      </w:r>
      <w:r w:rsidR="00220FBA" w:rsidRPr="002B71EC">
        <w:rPr>
          <w:szCs w:val="24"/>
        </w:rPr>
        <w:t>analytical</w:t>
      </w:r>
      <w:r w:rsidR="005B0684">
        <w:rPr>
          <w:szCs w:val="24"/>
        </w:rPr>
        <w:t xml:space="preserve"> expressions</w:t>
      </w:r>
      <w:r w:rsidR="00220FBA" w:rsidRPr="002B71EC">
        <w:rPr>
          <w:szCs w:val="24"/>
        </w:rPr>
        <w:t xml:space="preserve">. </w:t>
      </w:r>
      <w:r w:rsidR="00A34E53">
        <w:rPr>
          <w:szCs w:val="24"/>
        </w:rPr>
        <w:t>The m</w:t>
      </w:r>
      <w:r w:rsidR="00220FBA" w:rsidRPr="002B71EC">
        <w:rPr>
          <w:szCs w:val="24"/>
        </w:rPr>
        <w:t xml:space="preserve">ean and peak pressures and phase noise integrals are summarized in </w:t>
      </w:r>
      <w:r w:rsidR="00220FBA" w:rsidRPr="00A22D0C">
        <w:rPr>
          <w:szCs w:val="24"/>
        </w:rPr>
        <w:fldChar w:fldCharType="begin"/>
      </w:r>
      <w:r w:rsidR="00220FBA" w:rsidRPr="00A22D0C">
        <w:rPr>
          <w:szCs w:val="24"/>
        </w:rPr>
        <w:instrText xml:space="preserve"> REF _Ref291851904 \h </w:instrText>
      </w:r>
      <w:r w:rsidR="00220FBA" w:rsidRPr="00A22D0C">
        <w:rPr>
          <w:szCs w:val="24"/>
        </w:rPr>
      </w:r>
      <w:r w:rsidR="00220FBA" w:rsidRPr="00A22D0C">
        <w:rPr>
          <w:szCs w:val="24"/>
        </w:rPr>
        <w:fldChar w:fldCharType="separate"/>
      </w:r>
      <w:r w:rsidR="00F447D3">
        <w:t xml:space="preserve">Table </w:t>
      </w:r>
      <w:r w:rsidR="00F447D3">
        <w:rPr>
          <w:noProof/>
        </w:rPr>
        <w:t>1</w:t>
      </w:r>
      <w:r w:rsidR="00220FBA" w:rsidRPr="00A22D0C">
        <w:rPr>
          <w:szCs w:val="24"/>
        </w:rPr>
        <w:fldChar w:fldCharType="end"/>
      </w:r>
      <w:r w:rsidR="00220FBA" w:rsidRPr="00A22D0C">
        <w:rPr>
          <w:szCs w:val="24"/>
        </w:rPr>
        <w:t xml:space="preserve"> and </w:t>
      </w:r>
      <w:r w:rsidR="00220FBA" w:rsidRPr="00A22D0C">
        <w:rPr>
          <w:szCs w:val="24"/>
        </w:rPr>
        <w:fldChar w:fldCharType="begin"/>
      </w:r>
      <w:r w:rsidR="00220FBA" w:rsidRPr="00A22D0C">
        <w:rPr>
          <w:szCs w:val="24"/>
        </w:rPr>
        <w:instrText xml:space="preserve"> REF _Ref291851930 \h </w:instrText>
      </w:r>
      <w:r w:rsidR="00220FBA" w:rsidRPr="00A22D0C">
        <w:rPr>
          <w:szCs w:val="24"/>
        </w:rPr>
      </w:r>
      <w:r w:rsidR="00220FBA" w:rsidRPr="00A22D0C">
        <w:rPr>
          <w:szCs w:val="24"/>
        </w:rPr>
        <w:fldChar w:fldCharType="separate"/>
      </w:r>
      <w:r w:rsidR="00F447D3">
        <w:t xml:space="preserve">Figure </w:t>
      </w:r>
      <w:r w:rsidR="00F447D3">
        <w:rPr>
          <w:noProof/>
        </w:rPr>
        <w:t>2</w:t>
      </w:r>
      <w:r w:rsidR="00220FBA" w:rsidRPr="00A22D0C">
        <w:rPr>
          <w:szCs w:val="24"/>
        </w:rPr>
        <w:fldChar w:fldCharType="end"/>
      </w:r>
      <w:r w:rsidR="00220FBA" w:rsidRPr="00A22D0C">
        <w:rPr>
          <w:szCs w:val="24"/>
        </w:rPr>
        <w:t>.</w:t>
      </w:r>
      <w:r w:rsidR="00220FBA" w:rsidRPr="002B71EC">
        <w:rPr>
          <w:szCs w:val="24"/>
        </w:rPr>
        <w:t xml:space="preserve"> </w:t>
      </w:r>
    </w:p>
    <w:p w14:paraId="19509F2A" w14:textId="77777777" w:rsidR="00220FBA" w:rsidRDefault="00220FBA" w:rsidP="00220FBA">
      <w:pPr>
        <w:jc w:val="both"/>
        <w:rPr>
          <w:szCs w:val="24"/>
        </w:rPr>
      </w:pPr>
    </w:p>
    <w:p w14:paraId="6A9D4448" w14:textId="18B304DB" w:rsidR="00220FBA" w:rsidRDefault="00220FBA" w:rsidP="00220FBA">
      <w:pPr>
        <w:jc w:val="both"/>
        <w:rPr>
          <w:szCs w:val="24"/>
        </w:rPr>
      </w:pPr>
      <w:r>
        <w:rPr>
          <w:szCs w:val="24"/>
        </w:rPr>
        <w:t>Substituting molecular constants for hydrogen recovers the accepted LIGO strain noise result closely.  However, reinstating the appropriate mass and refractive index for water vapor give</w:t>
      </w:r>
      <w:r w:rsidR="00A34E53">
        <w:rPr>
          <w:szCs w:val="24"/>
        </w:rPr>
        <w:t>s</w:t>
      </w:r>
      <w:r>
        <w:rPr>
          <w:szCs w:val="24"/>
        </w:rPr>
        <w:t xml:space="preserve"> a factor of 4.2 higher </w:t>
      </w:r>
      <w:r w:rsidR="00A34E53">
        <w:rPr>
          <w:szCs w:val="24"/>
        </w:rPr>
        <w:t xml:space="preserve">strain noise </w:t>
      </w:r>
      <w:r>
        <w:rPr>
          <w:szCs w:val="24"/>
        </w:rPr>
        <w:t xml:space="preserve">than </w:t>
      </w:r>
      <w:r w:rsidR="00D56399">
        <w:rPr>
          <w:szCs w:val="24"/>
        </w:rPr>
        <w:t>calculated</w:t>
      </w:r>
      <w:r>
        <w:rPr>
          <w:szCs w:val="24"/>
        </w:rPr>
        <w:t xml:space="preserve"> for hydrogen in the end-pump</w:t>
      </w:r>
      <w:r w:rsidR="00A34E53">
        <w:rPr>
          <w:szCs w:val="24"/>
        </w:rPr>
        <w:t>ed condition (</w:t>
      </w:r>
      <w:r w:rsidR="00A22D0C">
        <w:rPr>
          <w:szCs w:val="24"/>
        </w:rPr>
        <w:t>c</w:t>
      </w:r>
      <w:r w:rsidR="00B21C3B">
        <w:rPr>
          <w:szCs w:val="24"/>
        </w:rPr>
        <w:t>ase 1). P</w:t>
      </w:r>
      <w:r>
        <w:rPr>
          <w:szCs w:val="24"/>
        </w:rPr>
        <w:t>rior treatments</w:t>
      </w:r>
      <w:r>
        <w:rPr>
          <w:rStyle w:val="FootnoteReference"/>
          <w:szCs w:val="24"/>
        </w:rPr>
        <w:footnoteReference w:id="10"/>
      </w:r>
      <w:r>
        <w:rPr>
          <w:szCs w:val="24"/>
        </w:rPr>
        <w:t xml:space="preserve"> </w:t>
      </w:r>
      <w:r w:rsidR="00B21C3B">
        <w:rPr>
          <w:szCs w:val="24"/>
        </w:rPr>
        <w:t>typically report</w:t>
      </w:r>
      <w:r>
        <w:rPr>
          <w:szCs w:val="24"/>
        </w:rPr>
        <w:t xml:space="preserve"> </w:t>
      </w:r>
      <m:oMath>
        <m:acc>
          <m:accPr>
            <m:chr m:val="̃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h</m:t>
            </m:r>
          </m:e>
        </m:acc>
        <m:r>
          <w:rPr>
            <w:rFonts w:ascii="Cambria Math" w:hAnsi="Cambria Math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/>
                <w:szCs w:val="24"/>
                <w:vertAlign w:val="subscript"/>
              </w:rPr>
              <m:t>H</m:t>
            </m:r>
          </m:e>
          <m:sub>
            <m:r>
              <w:rPr>
                <w:rFonts w:ascii="Cambria Math" w:hAnsi="Cambria Math"/>
                <w:szCs w:val="24"/>
                <w:vertAlign w:val="subscript"/>
              </w:rPr>
              <m:t>2</m:t>
            </m:r>
          </m:sub>
        </m:sSub>
        <m:r>
          <w:rPr>
            <w:rFonts w:ascii="Cambria Math" w:hAnsi="Cambria Math"/>
            <w:szCs w:val="24"/>
          </w:rPr>
          <m:t>O</m:t>
        </m:r>
        <m:r>
          <w:rPr>
            <w:rFonts w:ascii="Cambria Math" w:hAnsi="Cambria Math"/>
            <w:szCs w:val="24"/>
          </w:rPr>
          <m:t>)</m:t>
        </m:r>
        <m:r>
          <w:rPr>
            <w:rFonts w:ascii="Cambria Math" w:hAnsi="Cambria Math"/>
            <w:szCs w:val="24"/>
          </w:rPr>
          <m:t xml:space="preserve"> = 3.3 </m:t>
        </m:r>
        <m:acc>
          <m:accPr>
            <m:chr m:val="̃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h</m:t>
            </m:r>
          </m:e>
        </m:acc>
        <m:r>
          <w:rPr>
            <w:rFonts w:ascii="Cambria Math" w:hAnsi="Cambria Math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Cs w:val="24"/>
              </w:rPr>
              <m:t>2</m:t>
            </m:r>
          </m:sub>
        </m:sSub>
        <m:r>
          <w:rPr>
            <w:rFonts w:ascii="Cambria Math" w:hAnsi="Cambria Math"/>
            <w:szCs w:val="24"/>
          </w:rPr>
          <m:t>)</m:t>
        </m:r>
      </m:oMath>
      <w:r>
        <w:rPr>
          <w:szCs w:val="24"/>
        </w:rPr>
        <w:t xml:space="preserve">. </w:t>
      </w:r>
    </w:p>
    <w:p w14:paraId="0774E095" w14:textId="77777777" w:rsidR="00220FBA" w:rsidRDefault="00220FBA" w:rsidP="00220FBA">
      <w:pPr>
        <w:jc w:val="both"/>
        <w:rPr>
          <w:szCs w:val="24"/>
        </w:rPr>
      </w:pPr>
    </w:p>
    <w:p w14:paraId="6990ED60" w14:textId="26CE0EFD" w:rsidR="002D0040" w:rsidRDefault="00A34E53" w:rsidP="00220FBA">
      <w:pPr>
        <w:jc w:val="both"/>
        <w:rPr>
          <w:szCs w:val="24"/>
        </w:rPr>
      </w:pPr>
      <w:r>
        <w:rPr>
          <w:szCs w:val="24"/>
        </w:rPr>
        <w:t>The p</w:t>
      </w:r>
      <w:r w:rsidR="00220FBA">
        <w:rPr>
          <w:szCs w:val="24"/>
        </w:rPr>
        <w:t xml:space="preserve">rior </w:t>
      </w:r>
      <w:r w:rsidR="00B21C3B">
        <w:rPr>
          <w:szCs w:val="24"/>
        </w:rPr>
        <w:t>scaling</w:t>
      </w:r>
      <w:r w:rsidR="00220FBA">
        <w:rPr>
          <w:szCs w:val="24"/>
        </w:rPr>
        <w:t xml:space="preserve">s </w:t>
      </w:r>
      <w:r w:rsidR="00756107">
        <w:rPr>
          <w:szCs w:val="24"/>
        </w:rPr>
        <w:t xml:space="preserve">for heavier species </w:t>
      </w:r>
      <w:r w:rsidR="00220FBA">
        <w:rPr>
          <w:szCs w:val="24"/>
        </w:rPr>
        <w:t xml:space="preserve">were based on </w:t>
      </w:r>
      <w:r w:rsidR="00B21C3B">
        <w:rPr>
          <w:szCs w:val="24"/>
        </w:rPr>
        <w:t xml:space="preserve">local </w:t>
      </w:r>
      <w:r w:rsidR="00A4602A">
        <w:rPr>
          <w:szCs w:val="24"/>
        </w:rPr>
        <w:t>optical effects</w:t>
      </w:r>
      <w:r w:rsidR="00220FBA">
        <w:rPr>
          <w:szCs w:val="24"/>
        </w:rPr>
        <w:t xml:space="preserve"> of molecular polarizabil</w:t>
      </w:r>
      <w:r w:rsidR="0003582B">
        <w:rPr>
          <w:szCs w:val="24"/>
        </w:rPr>
        <w:t>i</w:t>
      </w:r>
      <w:r w:rsidR="00220FBA">
        <w:rPr>
          <w:szCs w:val="24"/>
        </w:rPr>
        <w:t>ty and thermal velocity. The present calculation includes an additional implicit mass (velocity) dependence</w:t>
      </w:r>
      <w:r w:rsidR="00756107">
        <w:rPr>
          <w:szCs w:val="24"/>
        </w:rPr>
        <w:t>,</w:t>
      </w:r>
      <w:r w:rsidR="00220FBA">
        <w:rPr>
          <w:szCs w:val="24"/>
        </w:rPr>
        <w:t xml:space="preserve"> due to </w:t>
      </w:r>
      <w:r w:rsidR="00B21C3B">
        <w:rPr>
          <w:szCs w:val="24"/>
        </w:rPr>
        <w:t>density</w:t>
      </w:r>
      <w:r w:rsidR="00220FBA">
        <w:rPr>
          <w:szCs w:val="24"/>
        </w:rPr>
        <w:t xml:space="preserve"> gradient</w:t>
      </w:r>
      <w:r w:rsidR="0003582B">
        <w:rPr>
          <w:szCs w:val="24"/>
        </w:rPr>
        <w:t>s</w:t>
      </w:r>
      <w:r w:rsidR="00220FBA">
        <w:rPr>
          <w:szCs w:val="24"/>
        </w:rPr>
        <w:t xml:space="preserve"> along the tube. </w:t>
      </w:r>
      <w:r>
        <w:rPr>
          <w:szCs w:val="24"/>
        </w:rPr>
        <w:t>Previously neglected, t</w:t>
      </w:r>
      <w:r w:rsidR="00220FBA">
        <w:rPr>
          <w:szCs w:val="24"/>
        </w:rPr>
        <w:t>his is more pronounced with heavier species</w:t>
      </w:r>
      <w:r>
        <w:rPr>
          <w:szCs w:val="24"/>
        </w:rPr>
        <w:t>;</w:t>
      </w:r>
      <w:r w:rsidR="00220FBA">
        <w:rPr>
          <w:szCs w:val="24"/>
        </w:rPr>
        <w:t xml:space="preserve"> its effect is enhanced by the</w:t>
      </w:r>
      <w:r w:rsidR="00756107">
        <w:rPr>
          <w:szCs w:val="24"/>
        </w:rPr>
        <w:t xml:space="preserve"> </w:t>
      </w:r>
      <w:r w:rsidR="00220FBA">
        <w:rPr>
          <w:szCs w:val="24"/>
        </w:rPr>
        <w:t xml:space="preserve">sharply focused aLIGO cavity geometry. The discrepancy is </w:t>
      </w:r>
      <w:r>
        <w:rPr>
          <w:szCs w:val="24"/>
        </w:rPr>
        <w:t>less</w:t>
      </w:r>
      <w:r w:rsidR="00220FBA">
        <w:rPr>
          <w:szCs w:val="24"/>
        </w:rPr>
        <w:t xml:space="preserve"> for uniform pressure profiles</w:t>
      </w:r>
      <w:r w:rsidR="00B21C3B">
        <w:rPr>
          <w:szCs w:val="24"/>
        </w:rPr>
        <w:t xml:space="preserve"> and lighter molecules</w:t>
      </w:r>
      <w:r w:rsidR="00220FBA">
        <w:rPr>
          <w:szCs w:val="24"/>
        </w:rPr>
        <w:t>, as expected.  To</w:t>
      </w:r>
      <w:r w:rsidR="00B21C3B">
        <w:rPr>
          <w:szCs w:val="24"/>
        </w:rPr>
        <w:t xml:space="preserve"> help</w:t>
      </w:r>
      <w:r w:rsidR="00220FBA">
        <w:rPr>
          <w:szCs w:val="24"/>
        </w:rPr>
        <w:t xml:space="preserve"> illustrate the </w:t>
      </w:r>
      <w:r w:rsidR="00220FBA" w:rsidRPr="00E12B0F">
        <w:rPr>
          <w:szCs w:val="24"/>
        </w:rPr>
        <w:t xml:space="preserve">issue, </w:t>
      </w:r>
      <w:r w:rsidR="00220FBA" w:rsidRPr="00E12B0F">
        <w:rPr>
          <w:szCs w:val="24"/>
        </w:rPr>
        <w:fldChar w:fldCharType="begin"/>
      </w:r>
      <w:r w:rsidR="00220FBA" w:rsidRPr="00E12B0F">
        <w:rPr>
          <w:szCs w:val="24"/>
        </w:rPr>
        <w:instrText xml:space="preserve"> REF _Ref291852749 \h </w:instrText>
      </w:r>
      <w:r w:rsidR="00220FBA" w:rsidRPr="00E12B0F">
        <w:rPr>
          <w:szCs w:val="24"/>
        </w:rPr>
      </w:r>
      <w:r w:rsidR="00220FBA" w:rsidRPr="00E12B0F">
        <w:rPr>
          <w:szCs w:val="24"/>
        </w:rPr>
        <w:fldChar w:fldCharType="separate"/>
      </w:r>
      <w:r w:rsidR="00F447D3">
        <w:t xml:space="preserve">Figure </w:t>
      </w:r>
      <w:r w:rsidR="00F447D3">
        <w:rPr>
          <w:noProof/>
        </w:rPr>
        <w:t>3</w:t>
      </w:r>
      <w:r w:rsidR="00220FBA" w:rsidRPr="00E12B0F">
        <w:rPr>
          <w:szCs w:val="24"/>
        </w:rPr>
        <w:fldChar w:fldCharType="end"/>
      </w:r>
      <w:r w:rsidR="00220FBA" w:rsidRPr="00E12B0F">
        <w:rPr>
          <w:szCs w:val="24"/>
        </w:rPr>
        <w:t xml:space="preserve"> shows</w:t>
      </w:r>
      <w:r w:rsidR="00220FBA">
        <w:rPr>
          <w:szCs w:val="24"/>
        </w:rPr>
        <w:t xml:space="preserve"> the beam radius plotted with the phase noise integrand</w:t>
      </w:r>
      <w:r w:rsidR="0003582B">
        <w:rPr>
          <w:szCs w:val="24"/>
        </w:rPr>
        <w:t>s</w:t>
      </w:r>
      <w:r w:rsidR="00220FBA">
        <w:rPr>
          <w:szCs w:val="24"/>
        </w:rPr>
        <w:t xml:space="preserve"> for each case. </w:t>
      </w:r>
    </w:p>
    <w:p w14:paraId="6E29AF7A" w14:textId="77777777" w:rsidR="0006291F" w:rsidRPr="00F4433F" w:rsidRDefault="0006291F" w:rsidP="0006291F">
      <w:pPr>
        <w:pStyle w:val="RegPara"/>
        <w:jc w:val="center"/>
        <w:rPr>
          <w:i/>
        </w:rPr>
      </w:pPr>
    </w:p>
    <w:tbl>
      <w:tblPr>
        <w:tblStyle w:val="TableGrid"/>
        <w:tblW w:w="0" w:type="auto"/>
        <w:jc w:val="center"/>
        <w:tblInd w:w="-82" w:type="dxa"/>
        <w:tblLook w:val="04A0" w:firstRow="1" w:lastRow="0" w:firstColumn="1" w:lastColumn="0" w:noHBand="0" w:noVBand="1"/>
      </w:tblPr>
      <w:tblGrid>
        <w:gridCol w:w="2578"/>
        <w:gridCol w:w="1403"/>
        <w:gridCol w:w="1432"/>
        <w:gridCol w:w="1560"/>
        <w:gridCol w:w="1152"/>
      </w:tblGrid>
      <w:tr w:rsidR="0006291F" w:rsidRPr="00F4433F" w14:paraId="2BCF0AB3" w14:textId="77777777" w:rsidTr="0006291F">
        <w:trPr>
          <w:jc w:val="center"/>
        </w:trPr>
        <w:tc>
          <w:tcPr>
            <w:tcW w:w="2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3DC45E" w14:textId="77777777" w:rsidR="0006291F" w:rsidRDefault="0006291F" w:rsidP="0006291F">
            <w:pPr>
              <w:pStyle w:val="RegPara"/>
              <w:jc w:val="center"/>
              <w:rPr>
                <w:i/>
              </w:rPr>
            </w:pPr>
            <w:r>
              <w:rPr>
                <w:i/>
              </w:rPr>
              <w:t xml:space="preserve">Ion Pumps </w:t>
            </w:r>
          </w:p>
          <w:p w14:paraId="6CA33D76" w14:textId="77777777" w:rsidR="0006291F" w:rsidRPr="00F4433F" w:rsidRDefault="0006291F" w:rsidP="0006291F">
            <w:pPr>
              <w:pStyle w:val="RegPara"/>
              <w:jc w:val="center"/>
              <w:rPr>
                <w:i/>
              </w:rPr>
            </w:pPr>
            <w:r>
              <w:rPr>
                <w:i/>
              </w:rPr>
              <w:t>Deployed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D79C69C" w14:textId="77777777" w:rsidR="0006291F" w:rsidRDefault="0006291F" w:rsidP="0006291F">
            <w:pPr>
              <w:pStyle w:val="RegPara"/>
              <w:jc w:val="center"/>
              <w:rPr>
                <w:i/>
              </w:rPr>
            </w:pPr>
            <w:r>
              <w:rPr>
                <w:i/>
              </w:rPr>
              <w:t>Mean P</w:t>
            </w:r>
          </w:p>
          <w:p w14:paraId="53C53A7E" w14:textId="77777777" w:rsidR="0006291F" w:rsidRDefault="0006291F" w:rsidP="0006291F">
            <w:pPr>
              <w:pStyle w:val="RegPara"/>
              <w:jc w:val="center"/>
              <w:rPr>
                <w:i/>
              </w:rPr>
            </w:pPr>
            <w:r>
              <w:rPr>
                <w:i/>
              </w:rPr>
              <w:t>(10</w:t>
            </w:r>
            <w:r w:rsidRPr="00C75EF8">
              <w:rPr>
                <w:i/>
                <w:vertAlign w:val="superscript"/>
              </w:rPr>
              <w:t>-</w:t>
            </w:r>
            <w:r>
              <w:rPr>
                <w:i/>
                <w:vertAlign w:val="superscript"/>
              </w:rPr>
              <w:t xml:space="preserve">10 </w:t>
            </w:r>
            <w:r>
              <w:rPr>
                <w:i/>
              </w:rPr>
              <w:t>Torr)</w:t>
            </w:r>
          </w:p>
        </w:tc>
        <w:tc>
          <w:tcPr>
            <w:tcW w:w="1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61DC39" w14:textId="77777777" w:rsidR="0006291F" w:rsidRDefault="0006291F" w:rsidP="0006291F">
            <w:pPr>
              <w:pStyle w:val="RegPara"/>
              <w:jc w:val="center"/>
              <w:rPr>
                <w:i/>
              </w:rPr>
            </w:pPr>
            <w:r>
              <w:rPr>
                <w:i/>
              </w:rPr>
              <w:t>Peak P</w:t>
            </w:r>
          </w:p>
          <w:p w14:paraId="554A587D" w14:textId="77777777" w:rsidR="0006291F" w:rsidRPr="00F4433F" w:rsidRDefault="0006291F" w:rsidP="0006291F">
            <w:pPr>
              <w:pStyle w:val="RegPara"/>
              <w:jc w:val="center"/>
              <w:rPr>
                <w:i/>
              </w:rPr>
            </w:pPr>
            <w:r>
              <w:rPr>
                <w:i/>
              </w:rPr>
              <w:t>(10</w:t>
            </w:r>
            <w:r w:rsidRPr="00B558DD">
              <w:rPr>
                <w:i/>
                <w:vertAlign w:val="superscript"/>
              </w:rPr>
              <w:t>-</w:t>
            </w:r>
            <w:r>
              <w:rPr>
                <w:i/>
                <w:vertAlign w:val="superscript"/>
              </w:rPr>
              <w:t>10</w:t>
            </w:r>
            <w:r>
              <w:rPr>
                <w:i/>
              </w:rPr>
              <w:t xml:space="preserve"> Torr)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318ED3" w14:textId="77777777" w:rsidR="0006291F" w:rsidRDefault="0006291F" w:rsidP="0006291F">
            <w:pPr>
              <w:pStyle w:val="RegPara"/>
              <w:jc w:val="center"/>
              <w:rPr>
                <w:i/>
              </w:rPr>
            </w:pPr>
            <w:r>
              <w:rPr>
                <w:i/>
              </w:rPr>
              <w:t>Strain</w:t>
            </w:r>
          </w:p>
          <w:p w14:paraId="2840FF35" w14:textId="77777777" w:rsidR="0006291F" w:rsidRPr="00F4433F" w:rsidRDefault="0006291F" w:rsidP="0006291F">
            <w:pPr>
              <w:pStyle w:val="RegPara"/>
              <w:jc w:val="center"/>
              <w:rPr>
                <w:i/>
              </w:rPr>
            </w:pPr>
            <w:r>
              <w:rPr>
                <w:i/>
              </w:rPr>
              <w:t>(10</w:t>
            </w:r>
            <w:r w:rsidRPr="00B558DD">
              <w:rPr>
                <w:i/>
                <w:vertAlign w:val="superscript"/>
              </w:rPr>
              <w:t>-</w:t>
            </w:r>
            <w:r>
              <w:rPr>
                <w:i/>
                <w:vertAlign w:val="superscript"/>
              </w:rPr>
              <w:t>25</w:t>
            </w:r>
            <w:r>
              <w:rPr>
                <w:i/>
              </w:rPr>
              <w:t xml:space="preserve"> Hz</w:t>
            </w:r>
            <w:r>
              <w:rPr>
                <w:i/>
                <w:vertAlign w:val="superscript"/>
              </w:rPr>
              <w:t xml:space="preserve"> -1</w:t>
            </w:r>
            <w:r w:rsidRPr="00DD43A8">
              <w:rPr>
                <w:i/>
                <w:vertAlign w:val="superscript"/>
              </w:rPr>
              <w:t>/2</w:t>
            </w:r>
            <w:r>
              <w:rPr>
                <w:i/>
              </w:rPr>
              <w:t>)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8B63D3" w14:textId="77777777" w:rsidR="0006291F" w:rsidRDefault="0006291F" w:rsidP="0006291F">
            <w:pPr>
              <w:pStyle w:val="RegPara"/>
              <w:jc w:val="center"/>
              <w:rPr>
                <w:i/>
              </w:rPr>
            </w:pPr>
            <w:r>
              <w:rPr>
                <w:i/>
              </w:rPr>
              <w:t>Norm.</w:t>
            </w:r>
          </w:p>
          <w:p w14:paraId="5E81921B" w14:textId="77777777" w:rsidR="0006291F" w:rsidRDefault="0006291F" w:rsidP="0006291F">
            <w:pPr>
              <w:pStyle w:val="RegPara"/>
              <w:jc w:val="center"/>
              <w:rPr>
                <w:i/>
              </w:rPr>
            </w:pPr>
            <w:r>
              <w:rPr>
                <w:i/>
              </w:rPr>
              <w:t>Strain</w:t>
            </w:r>
          </w:p>
        </w:tc>
      </w:tr>
      <w:tr w:rsidR="0006291F" w14:paraId="6F404737" w14:textId="77777777" w:rsidTr="0006291F">
        <w:trPr>
          <w:jc w:val="center"/>
        </w:trPr>
        <w:tc>
          <w:tcPr>
            <w:tcW w:w="25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DA364A" w14:textId="77777777" w:rsidR="0006291F" w:rsidRDefault="0006291F" w:rsidP="0006291F">
            <w:pPr>
              <w:pStyle w:val="RegPara"/>
              <w:jc w:val="center"/>
            </w:pPr>
            <w:r>
              <w:t>none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</w:tcPr>
          <w:p w14:paraId="0E6196BE" w14:textId="2057C809" w:rsidR="0006291F" w:rsidRDefault="001133AE" w:rsidP="0006291F">
            <w:pPr>
              <w:pStyle w:val="RegPara"/>
              <w:jc w:val="center"/>
            </w:pPr>
            <w:r>
              <w:t>2.91</w:t>
            </w:r>
            <w:r w:rsidR="0006291F" w:rsidRPr="00FE08FD">
              <w:t xml:space="preserve">    </w:t>
            </w:r>
          </w:p>
        </w:tc>
        <w:tc>
          <w:tcPr>
            <w:tcW w:w="1432" w:type="dxa"/>
            <w:tcBorders>
              <w:top w:val="single" w:sz="12" w:space="0" w:color="auto"/>
            </w:tcBorders>
          </w:tcPr>
          <w:p w14:paraId="50E0B30A" w14:textId="7437ABAC" w:rsidR="0006291F" w:rsidRDefault="001133AE" w:rsidP="0006291F">
            <w:pPr>
              <w:pStyle w:val="RegPara"/>
              <w:jc w:val="center"/>
            </w:pPr>
            <w:r>
              <w:t>4.41</w:t>
            </w:r>
            <w:r w:rsidR="0006291F" w:rsidRPr="00FE08FD">
              <w:t xml:space="preserve">   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14:paraId="5741736D" w14:textId="255C3C4B" w:rsidR="0006291F" w:rsidRDefault="001133AE" w:rsidP="0006291F">
            <w:pPr>
              <w:pStyle w:val="RegPara"/>
              <w:jc w:val="center"/>
            </w:pPr>
            <w:r>
              <w:t>3.10</w:t>
            </w:r>
            <w:r w:rsidR="0006291F" w:rsidRPr="00FE08FD">
              <w:t xml:space="preserve">    </w:t>
            </w:r>
          </w:p>
        </w:tc>
        <w:tc>
          <w:tcPr>
            <w:tcW w:w="1152" w:type="dxa"/>
            <w:tcBorders>
              <w:top w:val="single" w:sz="12" w:space="0" w:color="auto"/>
              <w:right w:val="single" w:sz="12" w:space="0" w:color="auto"/>
            </w:tcBorders>
          </w:tcPr>
          <w:p w14:paraId="04F612EA" w14:textId="75AAE7B4" w:rsidR="0006291F" w:rsidRDefault="00D2715C" w:rsidP="0006291F">
            <w:pPr>
              <w:pStyle w:val="RegPara"/>
              <w:jc w:val="center"/>
            </w:pPr>
            <m:oMath>
              <m:r>
                <w:rPr>
                  <w:rFonts w:ascii="Cambria Math" w:hAnsi="Cambria Math"/>
                </w:rPr>
                <m:t>≡</m:t>
              </m:r>
            </m:oMath>
            <w:r w:rsidR="0006291F" w:rsidRPr="00FE08FD">
              <w:t>1.00</w:t>
            </w:r>
          </w:p>
        </w:tc>
      </w:tr>
      <w:tr w:rsidR="0006291F" w14:paraId="430F8887" w14:textId="77777777" w:rsidTr="0006291F">
        <w:trPr>
          <w:jc w:val="center"/>
        </w:trPr>
        <w:tc>
          <w:tcPr>
            <w:tcW w:w="2578" w:type="dxa"/>
            <w:tcBorders>
              <w:left w:val="single" w:sz="12" w:space="0" w:color="auto"/>
              <w:right w:val="single" w:sz="12" w:space="0" w:color="auto"/>
            </w:tcBorders>
          </w:tcPr>
          <w:p w14:paraId="0FF8E944" w14:textId="77777777" w:rsidR="0006291F" w:rsidRDefault="0006291F" w:rsidP="0006291F">
            <w:pPr>
              <w:pStyle w:val="RegPara"/>
              <w:jc w:val="center"/>
            </w:pPr>
            <w:r>
              <w:t xml:space="preserve">MY </w:t>
            </w:r>
          </w:p>
        </w:tc>
        <w:tc>
          <w:tcPr>
            <w:tcW w:w="1403" w:type="dxa"/>
            <w:tcBorders>
              <w:left w:val="single" w:sz="12" w:space="0" w:color="auto"/>
            </w:tcBorders>
          </w:tcPr>
          <w:p w14:paraId="5B1998EA" w14:textId="34B899C8" w:rsidR="0006291F" w:rsidRDefault="0006291F" w:rsidP="001133AE">
            <w:pPr>
              <w:pStyle w:val="RegPara"/>
              <w:jc w:val="center"/>
            </w:pPr>
            <w:r w:rsidRPr="00BD5070">
              <w:t>1.</w:t>
            </w:r>
            <w:r w:rsidR="001133AE">
              <w:t>39</w:t>
            </w:r>
          </w:p>
        </w:tc>
        <w:tc>
          <w:tcPr>
            <w:tcW w:w="1432" w:type="dxa"/>
          </w:tcPr>
          <w:p w14:paraId="000C203B" w14:textId="28B3F0D6" w:rsidR="0006291F" w:rsidRDefault="0006291F" w:rsidP="001133AE">
            <w:pPr>
              <w:pStyle w:val="RegPara"/>
              <w:jc w:val="center"/>
            </w:pPr>
            <w:r w:rsidRPr="00BD5070">
              <w:t>1.</w:t>
            </w:r>
            <w:r w:rsidR="001133AE">
              <w:t>87</w:t>
            </w:r>
          </w:p>
        </w:tc>
        <w:tc>
          <w:tcPr>
            <w:tcW w:w="1560" w:type="dxa"/>
          </w:tcPr>
          <w:p w14:paraId="6C3D1507" w14:textId="02AE563A" w:rsidR="0006291F" w:rsidRDefault="001133AE" w:rsidP="0006291F">
            <w:pPr>
              <w:pStyle w:val="RegPara"/>
              <w:jc w:val="center"/>
            </w:pPr>
            <w:r>
              <w:t>2.06</w:t>
            </w:r>
            <w:r w:rsidR="0006291F" w:rsidRPr="00BD5070">
              <w:t xml:space="preserve">    </w:t>
            </w:r>
          </w:p>
        </w:tc>
        <w:tc>
          <w:tcPr>
            <w:tcW w:w="1152" w:type="dxa"/>
            <w:tcBorders>
              <w:right w:val="single" w:sz="12" w:space="0" w:color="auto"/>
            </w:tcBorders>
          </w:tcPr>
          <w:p w14:paraId="7E5CA414" w14:textId="77777777" w:rsidR="0006291F" w:rsidRDefault="0006291F" w:rsidP="0006291F">
            <w:pPr>
              <w:pStyle w:val="RegPara"/>
              <w:jc w:val="center"/>
            </w:pPr>
            <w:r w:rsidRPr="00BD5070">
              <w:t>0.66</w:t>
            </w:r>
          </w:p>
        </w:tc>
      </w:tr>
      <w:tr w:rsidR="0006291F" w14:paraId="22590536" w14:textId="77777777" w:rsidTr="0006291F">
        <w:trPr>
          <w:jc w:val="center"/>
        </w:trPr>
        <w:tc>
          <w:tcPr>
            <w:tcW w:w="2578" w:type="dxa"/>
            <w:tcBorders>
              <w:left w:val="single" w:sz="12" w:space="0" w:color="auto"/>
              <w:right w:val="single" w:sz="12" w:space="0" w:color="auto"/>
            </w:tcBorders>
          </w:tcPr>
          <w:p w14:paraId="45F58739" w14:textId="77777777" w:rsidR="0006291F" w:rsidRDefault="0006291F" w:rsidP="0006291F">
            <w:pPr>
              <w:pStyle w:val="RegPara"/>
              <w:jc w:val="center"/>
            </w:pPr>
            <w:r>
              <w:t>MY, Y1-7</w:t>
            </w:r>
          </w:p>
        </w:tc>
        <w:tc>
          <w:tcPr>
            <w:tcW w:w="1403" w:type="dxa"/>
            <w:tcBorders>
              <w:left w:val="single" w:sz="12" w:space="0" w:color="auto"/>
            </w:tcBorders>
          </w:tcPr>
          <w:p w14:paraId="775169EC" w14:textId="1A18BB49" w:rsidR="0006291F" w:rsidRDefault="001133AE" w:rsidP="0006291F">
            <w:pPr>
              <w:pStyle w:val="RegPara"/>
              <w:jc w:val="center"/>
            </w:pPr>
            <w:r>
              <w:t>1.03</w:t>
            </w:r>
            <w:r w:rsidR="0006291F" w:rsidRPr="006C2077">
              <w:t xml:space="preserve">    </w:t>
            </w:r>
          </w:p>
        </w:tc>
        <w:tc>
          <w:tcPr>
            <w:tcW w:w="1432" w:type="dxa"/>
          </w:tcPr>
          <w:p w14:paraId="0959893C" w14:textId="3AD98246" w:rsidR="0006291F" w:rsidRDefault="0006291F" w:rsidP="001133AE">
            <w:pPr>
              <w:pStyle w:val="RegPara"/>
              <w:jc w:val="center"/>
            </w:pPr>
            <w:r w:rsidRPr="006C2077">
              <w:t>1.</w:t>
            </w:r>
            <w:r w:rsidR="001133AE">
              <w:t>57</w:t>
            </w:r>
            <w:r w:rsidRPr="006C2077">
              <w:t xml:space="preserve">   </w:t>
            </w:r>
          </w:p>
        </w:tc>
        <w:tc>
          <w:tcPr>
            <w:tcW w:w="1560" w:type="dxa"/>
          </w:tcPr>
          <w:p w14:paraId="4AF27812" w14:textId="2F542BBA" w:rsidR="0006291F" w:rsidRDefault="0006291F" w:rsidP="001133AE">
            <w:pPr>
              <w:pStyle w:val="RegPara"/>
              <w:jc w:val="center"/>
            </w:pPr>
            <w:r w:rsidRPr="006C2077">
              <w:t>1.</w:t>
            </w:r>
            <w:r w:rsidR="001133AE">
              <w:t>72</w:t>
            </w:r>
          </w:p>
        </w:tc>
        <w:tc>
          <w:tcPr>
            <w:tcW w:w="1152" w:type="dxa"/>
            <w:tcBorders>
              <w:right w:val="single" w:sz="12" w:space="0" w:color="auto"/>
            </w:tcBorders>
          </w:tcPr>
          <w:p w14:paraId="52F529FF" w14:textId="77777777" w:rsidR="0006291F" w:rsidRDefault="0006291F" w:rsidP="0006291F">
            <w:pPr>
              <w:pStyle w:val="RegPara"/>
              <w:jc w:val="center"/>
            </w:pPr>
            <w:r w:rsidRPr="006C2077">
              <w:t>0.55</w:t>
            </w:r>
          </w:p>
        </w:tc>
      </w:tr>
      <w:tr w:rsidR="0006291F" w14:paraId="61EA9560" w14:textId="77777777" w:rsidTr="0006291F">
        <w:trPr>
          <w:trHeight w:val="286"/>
          <w:jc w:val="center"/>
        </w:trPr>
        <w:tc>
          <w:tcPr>
            <w:tcW w:w="2578" w:type="dxa"/>
            <w:tcBorders>
              <w:left w:val="single" w:sz="12" w:space="0" w:color="auto"/>
              <w:right w:val="single" w:sz="12" w:space="0" w:color="auto"/>
            </w:tcBorders>
          </w:tcPr>
          <w:p w14:paraId="4C29BFD5" w14:textId="77777777" w:rsidR="0006291F" w:rsidRDefault="0006291F" w:rsidP="0006291F">
            <w:pPr>
              <w:pStyle w:val="RegPara"/>
              <w:jc w:val="center"/>
            </w:pPr>
            <w:r>
              <w:t>Y1-6, Y1-7, MY, Y2-1</w:t>
            </w:r>
          </w:p>
        </w:tc>
        <w:tc>
          <w:tcPr>
            <w:tcW w:w="1403" w:type="dxa"/>
            <w:tcBorders>
              <w:left w:val="single" w:sz="12" w:space="0" w:color="auto"/>
            </w:tcBorders>
          </w:tcPr>
          <w:p w14:paraId="78B138B3" w14:textId="61E2B77A" w:rsidR="0006291F" w:rsidRDefault="0006291F" w:rsidP="001133AE">
            <w:pPr>
              <w:pStyle w:val="RegPara"/>
              <w:jc w:val="center"/>
            </w:pPr>
            <w:r w:rsidRPr="00C747BA">
              <w:t>0.</w:t>
            </w:r>
            <w:r w:rsidR="001133AE">
              <w:t>69</w:t>
            </w:r>
          </w:p>
        </w:tc>
        <w:tc>
          <w:tcPr>
            <w:tcW w:w="1432" w:type="dxa"/>
          </w:tcPr>
          <w:p w14:paraId="41D92190" w14:textId="5AE9AFCA" w:rsidR="0006291F" w:rsidRDefault="001133AE" w:rsidP="0006291F">
            <w:pPr>
              <w:pStyle w:val="RegPara"/>
              <w:jc w:val="center"/>
            </w:pPr>
            <w:r>
              <w:t>1.12</w:t>
            </w:r>
            <w:r w:rsidR="0006291F" w:rsidRPr="00C747BA">
              <w:t xml:space="preserve">    </w:t>
            </w:r>
          </w:p>
        </w:tc>
        <w:tc>
          <w:tcPr>
            <w:tcW w:w="1560" w:type="dxa"/>
          </w:tcPr>
          <w:p w14:paraId="41E978F0" w14:textId="585A8E23" w:rsidR="0006291F" w:rsidRDefault="0006291F" w:rsidP="001133AE">
            <w:pPr>
              <w:pStyle w:val="RegPara"/>
              <w:jc w:val="center"/>
            </w:pPr>
            <w:r w:rsidRPr="00C747BA">
              <w:t>1.</w:t>
            </w:r>
            <w:r w:rsidR="001133AE">
              <w:t>35</w:t>
            </w:r>
            <w:r w:rsidRPr="00C747BA">
              <w:t xml:space="preserve">   </w:t>
            </w:r>
          </w:p>
        </w:tc>
        <w:tc>
          <w:tcPr>
            <w:tcW w:w="1152" w:type="dxa"/>
            <w:tcBorders>
              <w:right w:val="single" w:sz="12" w:space="0" w:color="auto"/>
            </w:tcBorders>
          </w:tcPr>
          <w:p w14:paraId="34D1710B" w14:textId="77777777" w:rsidR="0006291F" w:rsidRDefault="0006291F" w:rsidP="0006291F">
            <w:pPr>
              <w:pStyle w:val="RegPara"/>
              <w:jc w:val="center"/>
            </w:pPr>
            <w:r w:rsidRPr="00C747BA">
              <w:t>0.4</w:t>
            </w:r>
            <w:r>
              <w:t>4</w:t>
            </w:r>
          </w:p>
        </w:tc>
      </w:tr>
      <w:tr w:rsidR="0006291F" w14:paraId="53E08B07" w14:textId="77777777" w:rsidTr="0006291F">
        <w:trPr>
          <w:trHeight w:val="285"/>
          <w:jc w:val="center"/>
        </w:trPr>
        <w:tc>
          <w:tcPr>
            <w:tcW w:w="25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7170AB" w14:textId="77777777" w:rsidR="0006291F" w:rsidRDefault="0006291F" w:rsidP="0006291F">
            <w:pPr>
              <w:pStyle w:val="RegPara"/>
              <w:jc w:val="center"/>
            </w:pPr>
            <w:r>
              <w:t>all</w:t>
            </w:r>
          </w:p>
        </w:tc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</w:tcPr>
          <w:p w14:paraId="3DFC466F" w14:textId="388EDBB2" w:rsidR="0006291F" w:rsidRDefault="0006291F" w:rsidP="001133AE">
            <w:pPr>
              <w:pStyle w:val="RegPara"/>
              <w:jc w:val="center"/>
            </w:pPr>
            <w:r w:rsidRPr="009A5D53">
              <w:t>0.</w:t>
            </w:r>
            <w:r w:rsidR="001133AE">
              <w:t>21</w:t>
            </w:r>
            <w:r w:rsidRPr="009A5D53">
              <w:t xml:space="preserve">    </w:t>
            </w:r>
          </w:p>
        </w:tc>
        <w:tc>
          <w:tcPr>
            <w:tcW w:w="1432" w:type="dxa"/>
            <w:tcBorders>
              <w:bottom w:val="single" w:sz="12" w:space="0" w:color="auto"/>
            </w:tcBorders>
          </w:tcPr>
          <w:p w14:paraId="1226E2F9" w14:textId="12FE2164" w:rsidR="0006291F" w:rsidRDefault="0006291F" w:rsidP="001133AE">
            <w:pPr>
              <w:pStyle w:val="RegPara"/>
              <w:jc w:val="center"/>
            </w:pPr>
            <w:r w:rsidRPr="009A5D53">
              <w:t>0.</w:t>
            </w:r>
            <w:r w:rsidR="001133AE">
              <w:t>25</w:t>
            </w:r>
            <w:r w:rsidRPr="009A5D53">
              <w:t xml:space="preserve">    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78DE2B57" w14:textId="4EB2728C" w:rsidR="0006291F" w:rsidRDefault="0006291F" w:rsidP="001133AE">
            <w:pPr>
              <w:pStyle w:val="RegPara"/>
              <w:keepNext/>
              <w:jc w:val="center"/>
            </w:pPr>
            <w:r w:rsidRPr="009A5D53">
              <w:t>0.</w:t>
            </w:r>
            <w:r w:rsidR="001133AE">
              <w:t>79</w:t>
            </w:r>
            <w:r w:rsidRPr="009A5D53">
              <w:t xml:space="preserve">    </w:t>
            </w:r>
          </w:p>
        </w:tc>
        <w:tc>
          <w:tcPr>
            <w:tcW w:w="1152" w:type="dxa"/>
            <w:tcBorders>
              <w:bottom w:val="single" w:sz="12" w:space="0" w:color="auto"/>
              <w:right w:val="single" w:sz="12" w:space="0" w:color="auto"/>
            </w:tcBorders>
          </w:tcPr>
          <w:p w14:paraId="7E31B458" w14:textId="77777777" w:rsidR="0006291F" w:rsidRDefault="0006291F" w:rsidP="0006291F">
            <w:pPr>
              <w:pStyle w:val="RegPara"/>
              <w:keepNext/>
              <w:jc w:val="center"/>
            </w:pPr>
            <w:r w:rsidRPr="009A5D53">
              <w:t>0.2</w:t>
            </w:r>
            <w:r>
              <w:t>5</w:t>
            </w:r>
          </w:p>
        </w:tc>
      </w:tr>
    </w:tbl>
    <w:p w14:paraId="7813F376" w14:textId="31189F5D" w:rsidR="00756107" w:rsidRPr="00756107" w:rsidRDefault="0006291F" w:rsidP="005B0684">
      <w:pPr>
        <w:pStyle w:val="Caption"/>
      </w:pPr>
      <w:bookmarkStart w:id="2" w:name="_Ref291851904"/>
      <w:r>
        <w:t xml:space="preserve">Table </w:t>
      </w:r>
      <w:fldSimple w:instr=" SEQ Table \* ARABIC ">
        <w:r w:rsidR="00F447D3">
          <w:rPr>
            <w:noProof/>
          </w:rPr>
          <w:t>1</w:t>
        </w:r>
      </w:fldSimple>
      <w:bookmarkEnd w:id="2"/>
      <w:r>
        <w:t>:</w:t>
      </w:r>
      <w:r w:rsidRPr="0035517A">
        <w:t xml:space="preserve"> </w:t>
      </w:r>
      <w:r>
        <w:t xml:space="preserve">Mean and peak water vapor pressure and strain noise contribution (one arm) for each pumping arrangement, assuming uniform </w:t>
      </w:r>
      <w:r w:rsidRPr="0006291F">
        <w:rPr>
          <w:i/>
        </w:rPr>
        <w:t>J</w:t>
      </w:r>
      <w:r w:rsidRPr="00EB09E7">
        <w:t>(H</w:t>
      </w:r>
      <w:r w:rsidRPr="00EB09E7">
        <w:rPr>
          <w:vertAlign w:val="subscript"/>
        </w:rPr>
        <w:t>2</w:t>
      </w:r>
      <w:r w:rsidRPr="00EB09E7">
        <w:t>0)</w:t>
      </w:r>
      <w:r>
        <w:t xml:space="preserve"> = </w:t>
      </w:r>
      <w:r w:rsidR="001133AE">
        <w:t>1.3</w:t>
      </w:r>
      <w:r w:rsidR="00220FBA">
        <w:t>x10</w:t>
      </w:r>
      <w:r w:rsidRPr="00220FBA">
        <w:rPr>
          <w:vertAlign w:val="superscript"/>
        </w:rPr>
        <w:t>-15</w:t>
      </w:r>
      <w:r>
        <w:t xml:space="preserve"> Tl/s/cm</w:t>
      </w:r>
      <w:r w:rsidRPr="007071B9">
        <w:rPr>
          <w:vertAlign w:val="superscript"/>
        </w:rPr>
        <w:t>2</w:t>
      </w:r>
      <w:r>
        <w:t>.</w:t>
      </w:r>
    </w:p>
    <w:p w14:paraId="3B38E1EB" w14:textId="4F5C7876" w:rsidR="00FE7161" w:rsidRDefault="001133AE" w:rsidP="00FE7161">
      <w:pPr>
        <w:pStyle w:val="RegPara"/>
        <w:keepNext/>
        <w:jc w:val="center"/>
      </w:pPr>
      <w:r>
        <w:rPr>
          <w:noProof/>
        </w:rPr>
        <w:drawing>
          <wp:inline distT="0" distB="0" distL="0" distR="0" wp14:anchorId="4EDF281A" wp14:editId="1B3ECAE4">
            <wp:extent cx="4387352" cy="3784600"/>
            <wp:effectExtent l="0" t="0" r="6985" b="0"/>
            <wp:docPr id="15" name="Picture 15" descr="Macintosh HD:Users:mike:Documents:Vacuum:LLO_YLEAK:WaterModel:Fi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mike:Documents:Vacuum:LLO_YLEAK:WaterModel:Fig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818" cy="378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55EDE" w14:textId="7D709AD5" w:rsidR="00EB09E7" w:rsidRDefault="00FE7161" w:rsidP="00756107">
      <w:pPr>
        <w:pStyle w:val="Caption"/>
        <w:jc w:val="center"/>
      </w:pPr>
      <w:bookmarkStart w:id="3" w:name="_Ref291851924"/>
      <w:bookmarkStart w:id="4" w:name="_Ref291851930"/>
      <w:r>
        <w:t xml:space="preserve">Figure </w:t>
      </w:r>
      <w:fldSimple w:instr=" SEQ Figure \* ARABIC ">
        <w:r w:rsidR="00F447D3">
          <w:rPr>
            <w:noProof/>
          </w:rPr>
          <w:t>2</w:t>
        </w:r>
      </w:fldSimple>
      <w:bookmarkEnd w:id="4"/>
      <w:r>
        <w:t>: Strain noise PSD</w:t>
      </w:r>
      <w:r w:rsidR="00DA5310">
        <w:t xml:space="preserve"> (one arm)</w:t>
      </w:r>
      <w:r>
        <w:t xml:space="preserve"> </w:t>
      </w:r>
      <w:r w:rsidR="00220FBA">
        <w:t>for each pumping configuration</w:t>
      </w:r>
      <w:bookmarkEnd w:id="3"/>
      <w:r w:rsidR="00220FBA">
        <w:t>.</w:t>
      </w:r>
    </w:p>
    <w:p w14:paraId="4AAE0CE8" w14:textId="77777777" w:rsidR="00756107" w:rsidRPr="00756107" w:rsidRDefault="00756107" w:rsidP="00756107"/>
    <w:p w14:paraId="04E2CC53" w14:textId="77777777" w:rsidR="002D147E" w:rsidRDefault="00A56D09" w:rsidP="00EB09E7">
      <w:pPr>
        <w:pStyle w:val="Caption"/>
        <w:jc w:val="center"/>
      </w:pPr>
      <w:r>
        <w:rPr>
          <w:noProof/>
        </w:rPr>
        <w:drawing>
          <wp:inline distT="0" distB="0" distL="0" distR="0" wp14:anchorId="5EFC9CB9" wp14:editId="1C7057F7">
            <wp:extent cx="4172695" cy="3572933"/>
            <wp:effectExtent l="0" t="0" r="0" b="8890"/>
            <wp:docPr id="11" name="Picture 11" descr="Macintosh HD:Users:mike:Documents:Vacuum:LLO_YLEAK:WaterModel:fi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ike:Documents:Vacuum:LLO_YLEAK:WaterModel:fig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088" cy="357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F9288" w14:textId="46096358" w:rsidR="00EB09E7" w:rsidRDefault="00EB09E7" w:rsidP="002B71EC">
      <w:pPr>
        <w:pStyle w:val="Caption"/>
        <w:jc w:val="center"/>
      </w:pPr>
      <w:bookmarkStart w:id="5" w:name="_Ref291852749"/>
      <w:r>
        <w:t xml:space="preserve">Figure </w:t>
      </w:r>
      <w:fldSimple w:instr=" SEQ Figure \* ARABIC ">
        <w:r w:rsidR="00F447D3">
          <w:rPr>
            <w:noProof/>
          </w:rPr>
          <w:t>3</w:t>
        </w:r>
      </w:fldSimple>
      <w:bookmarkEnd w:id="5"/>
      <w:r>
        <w:t>: Phase noise PSD integrand</w:t>
      </w:r>
      <w:r w:rsidR="005B0684">
        <w:t>.</w:t>
      </w:r>
    </w:p>
    <w:p w14:paraId="3882D5C8" w14:textId="77777777" w:rsidR="002B71EC" w:rsidRDefault="002B71EC" w:rsidP="002B71EC"/>
    <w:p w14:paraId="0E503931" w14:textId="2387ABF7" w:rsidR="002B71EC" w:rsidRDefault="002B71EC" w:rsidP="00DA5310">
      <w:pPr>
        <w:jc w:val="both"/>
        <w:rPr>
          <w:szCs w:val="24"/>
        </w:rPr>
      </w:pPr>
      <w:r>
        <w:rPr>
          <w:b/>
          <w:szCs w:val="24"/>
        </w:rPr>
        <w:t>Discussion</w:t>
      </w:r>
      <w:r w:rsidRPr="002B71EC">
        <w:rPr>
          <w:b/>
          <w:szCs w:val="24"/>
        </w:rPr>
        <w:t>:</w:t>
      </w:r>
      <w:r w:rsidRPr="002B71EC">
        <w:rPr>
          <w:szCs w:val="24"/>
        </w:rPr>
        <w:t xml:space="preserve">  </w:t>
      </w:r>
      <w:r w:rsidR="00D05C0F">
        <w:rPr>
          <w:szCs w:val="24"/>
        </w:rPr>
        <w:t xml:space="preserve">The lowest point in the </w:t>
      </w:r>
      <w:r w:rsidR="00A34E53">
        <w:rPr>
          <w:szCs w:val="24"/>
        </w:rPr>
        <w:t>b</w:t>
      </w:r>
      <w:r w:rsidR="00D05C0F">
        <w:rPr>
          <w:szCs w:val="24"/>
        </w:rPr>
        <w:t xml:space="preserve">est proposed aLIGO sensitivity curve of T1400177 reaches </w:t>
      </w:r>
      <m:oMath>
        <m:acc>
          <m:accPr>
            <m:chr m:val="̃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h</m:t>
            </m:r>
          </m:e>
        </m:acc>
        <m:r>
          <w:rPr>
            <w:rFonts w:ascii="Cambria Math" w:hAnsi="Cambria Math"/>
            <w:szCs w:val="24"/>
          </w:rPr>
          <m:t>(</m:t>
        </m:r>
        <m:r>
          <w:rPr>
            <w:rFonts w:ascii="Cambria Math" w:hAnsi="Cambria Math"/>
            <w:szCs w:val="24"/>
            <w:vertAlign w:val="subscript"/>
          </w:rPr>
          <m:t>f</m:t>
        </m:r>
        <m:r>
          <w:rPr>
            <w:rFonts w:ascii="Cambria Math" w:hAnsi="Cambria Math"/>
            <w:szCs w:val="24"/>
          </w:rPr>
          <m:t>)</m:t>
        </m:r>
        <m:r>
          <w:rPr>
            <w:rFonts w:ascii="Cambria Math" w:hAnsi="Cambria Math"/>
            <w:szCs w:val="24"/>
          </w:rPr>
          <m:t xml:space="preserve"> = 2.6 × 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Cs w:val="24"/>
              </w:rPr>
              <m:t>-24</m:t>
            </m:r>
          </m:sup>
        </m:sSup>
        <m:r>
          <w:rPr>
            <w:rFonts w:ascii="Cambria Math" w:hAnsi="Cambria Math"/>
            <w:szCs w:val="24"/>
          </w:rPr>
          <m:t>/</m:t>
        </m:r>
        <m:rad>
          <m:radPr>
            <m:degHide m:val="1"/>
            <m:ctrlPr>
              <w:rPr>
                <w:rFonts w:ascii="Cambria Math" w:hAnsi="Cambria Math"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</w:rPr>
              <m:t>Hz</m:t>
            </m:r>
          </m:e>
        </m:rad>
      </m:oMath>
      <w:r w:rsidR="00D05C0F">
        <w:rPr>
          <w:szCs w:val="24"/>
        </w:rPr>
        <w:t xml:space="preserve">  (Fig</w:t>
      </w:r>
      <w:r w:rsidR="00C03EB9">
        <w:rPr>
          <w:szCs w:val="24"/>
        </w:rPr>
        <w:t>.</w:t>
      </w:r>
      <w:r w:rsidR="00D05C0F">
        <w:rPr>
          <w:szCs w:val="24"/>
        </w:rPr>
        <w:t xml:space="preserve"> 3, </w:t>
      </w:r>
      <w:r w:rsidR="00C03EB9">
        <w:rPr>
          <w:szCs w:val="24"/>
        </w:rPr>
        <w:t>"</w:t>
      </w:r>
      <w:r w:rsidR="00D05C0F">
        <w:rPr>
          <w:szCs w:val="24"/>
        </w:rPr>
        <w:t>BNS optimized,</w:t>
      </w:r>
      <w:r w:rsidR="00C03EB9">
        <w:rPr>
          <w:szCs w:val="24"/>
        </w:rPr>
        <w:t>"</w:t>
      </w:r>
      <w:r w:rsidR="00D05C0F">
        <w:rPr>
          <w:szCs w:val="24"/>
        </w:rPr>
        <w:t xml:space="preserve"> 125 W input</w:t>
      </w:r>
      <w:r w:rsidR="00DA5310">
        <w:rPr>
          <w:szCs w:val="24"/>
        </w:rPr>
        <w:t>, 250 Hz</w:t>
      </w:r>
      <w:r w:rsidR="00D05C0F">
        <w:rPr>
          <w:szCs w:val="24"/>
        </w:rPr>
        <w:t xml:space="preserve">). </w:t>
      </w:r>
      <w:r w:rsidR="00DA5310">
        <w:rPr>
          <w:szCs w:val="24"/>
        </w:rPr>
        <w:t xml:space="preserve"> The calculated phase noise is </w:t>
      </w:r>
      <w:r w:rsidR="00A34E53">
        <w:rPr>
          <w:szCs w:val="24"/>
        </w:rPr>
        <w:t xml:space="preserve">less than </w:t>
      </w:r>
      <w:r w:rsidR="00DA5310">
        <w:rPr>
          <w:szCs w:val="24"/>
        </w:rPr>
        <w:t>1/10 this level</w:t>
      </w:r>
      <w:r w:rsidR="00AF6A82">
        <w:rPr>
          <w:rStyle w:val="FootnoteReference"/>
          <w:szCs w:val="24"/>
        </w:rPr>
        <w:footnoteReference w:id="11"/>
      </w:r>
      <w:r w:rsidR="00DA5310">
        <w:rPr>
          <w:szCs w:val="24"/>
        </w:rPr>
        <w:t xml:space="preserve"> with </w:t>
      </w:r>
      <w:r w:rsidR="00C03EB9">
        <w:rPr>
          <w:szCs w:val="24"/>
        </w:rPr>
        <w:t xml:space="preserve">one added pump at the midpoint </w:t>
      </w:r>
      <w:r w:rsidR="00C03EB9">
        <w:rPr>
          <w:szCs w:val="24"/>
        </w:rPr>
        <w:t>(</w:t>
      </w:r>
      <w:r w:rsidR="00C03EB9" w:rsidRPr="00A22D0C">
        <w:rPr>
          <w:szCs w:val="24"/>
        </w:rPr>
        <w:fldChar w:fldCharType="begin"/>
      </w:r>
      <w:r w:rsidR="00C03EB9" w:rsidRPr="00A22D0C">
        <w:rPr>
          <w:szCs w:val="24"/>
        </w:rPr>
        <w:instrText xml:space="preserve"> REF _Ref291851904 \h </w:instrText>
      </w:r>
      <w:r w:rsidR="00C03EB9" w:rsidRPr="00A22D0C">
        <w:rPr>
          <w:szCs w:val="24"/>
        </w:rPr>
      </w:r>
      <w:r w:rsidR="00C03EB9" w:rsidRPr="00A22D0C">
        <w:rPr>
          <w:szCs w:val="24"/>
        </w:rPr>
        <w:fldChar w:fldCharType="separate"/>
      </w:r>
      <w:r w:rsidR="00F447D3">
        <w:t xml:space="preserve">Table </w:t>
      </w:r>
      <w:r w:rsidR="00F447D3">
        <w:rPr>
          <w:noProof/>
        </w:rPr>
        <w:t>1</w:t>
      </w:r>
      <w:r w:rsidR="00C03EB9" w:rsidRPr="00A22D0C">
        <w:rPr>
          <w:szCs w:val="24"/>
        </w:rPr>
        <w:fldChar w:fldCharType="end"/>
      </w:r>
      <w:r w:rsidR="00C03EB9">
        <w:rPr>
          <w:szCs w:val="24"/>
        </w:rPr>
        <w:t xml:space="preserve">, </w:t>
      </w:r>
      <w:r w:rsidR="00A34E53">
        <w:rPr>
          <w:szCs w:val="24"/>
        </w:rPr>
        <w:t>case 2)</w:t>
      </w:r>
      <w:r w:rsidR="00AF6A82">
        <w:rPr>
          <w:szCs w:val="24"/>
        </w:rPr>
        <w:t>.</w:t>
      </w:r>
      <w:r w:rsidR="00DA5310">
        <w:rPr>
          <w:szCs w:val="24"/>
        </w:rPr>
        <w:t xml:space="preserve"> </w:t>
      </w:r>
      <w:r w:rsidR="00A34E53">
        <w:rPr>
          <w:szCs w:val="24"/>
        </w:rPr>
        <w:t>The default case</w:t>
      </w:r>
      <w:r w:rsidR="00C03EB9">
        <w:rPr>
          <w:szCs w:val="24"/>
        </w:rPr>
        <w:t xml:space="preserve"> 1</w:t>
      </w:r>
      <w:r w:rsidR="00A34E53">
        <w:rPr>
          <w:szCs w:val="24"/>
        </w:rPr>
        <w:t>, no added pumps, may in fact be</w:t>
      </w:r>
      <w:r w:rsidR="007D24F6">
        <w:rPr>
          <w:szCs w:val="24"/>
        </w:rPr>
        <w:t>come</w:t>
      </w:r>
      <w:r w:rsidR="00A34E53">
        <w:rPr>
          <w:szCs w:val="24"/>
        </w:rPr>
        <w:t xml:space="preserve"> adequate</w:t>
      </w:r>
      <w:r w:rsidR="00C03EB9">
        <w:rPr>
          <w:szCs w:val="24"/>
        </w:rPr>
        <w:t xml:space="preserve"> by itself</w:t>
      </w:r>
      <w:r w:rsidR="00A34E53">
        <w:rPr>
          <w:szCs w:val="24"/>
        </w:rPr>
        <w:t xml:space="preserve">: </w:t>
      </w:r>
      <w:r w:rsidR="00DA5310">
        <w:rPr>
          <w:szCs w:val="24"/>
        </w:rPr>
        <w:t>ou</w:t>
      </w:r>
      <w:r w:rsidR="00C03EB9">
        <w:rPr>
          <w:szCs w:val="24"/>
        </w:rPr>
        <w:t>tgassing is expected to decline</w:t>
      </w:r>
      <w:r w:rsidR="00AC2AE6">
        <w:rPr>
          <w:szCs w:val="24"/>
        </w:rPr>
        <w:t xml:space="preserve"> </w:t>
      </w:r>
      <w:r w:rsidR="00DA5310">
        <w:rPr>
          <w:szCs w:val="24"/>
        </w:rPr>
        <w:t xml:space="preserve">as </w:t>
      </w:r>
      <w:r w:rsidR="00AC2AE6">
        <w:rPr>
          <w:szCs w:val="24"/>
        </w:rPr>
        <w:t>~</w:t>
      </w:r>
      <w:r w:rsidR="00DA5310">
        <w:rPr>
          <w:szCs w:val="24"/>
        </w:rPr>
        <w:t>1/</w:t>
      </w:r>
      <w:r w:rsidR="00DA5310" w:rsidRPr="00DA5310">
        <w:rPr>
          <w:i/>
          <w:szCs w:val="24"/>
        </w:rPr>
        <w:t>t</w:t>
      </w:r>
      <w:r w:rsidR="00A34E53">
        <w:rPr>
          <w:szCs w:val="24"/>
        </w:rPr>
        <w:t xml:space="preserve">, and this </w:t>
      </w:r>
      <w:r w:rsidR="00C03EB9">
        <w:rPr>
          <w:szCs w:val="24"/>
        </w:rPr>
        <w:t>performance</w:t>
      </w:r>
      <w:r w:rsidR="00A34E53">
        <w:rPr>
          <w:szCs w:val="24"/>
        </w:rPr>
        <w:t xml:space="preserve"> level is unlikely to be a</w:t>
      </w:r>
      <w:r w:rsidR="007D24F6">
        <w:rPr>
          <w:szCs w:val="24"/>
        </w:rPr>
        <w:t>chieved</w:t>
      </w:r>
      <w:r w:rsidR="00A34E53">
        <w:rPr>
          <w:szCs w:val="24"/>
        </w:rPr>
        <w:t xml:space="preserve"> </w:t>
      </w:r>
      <w:r w:rsidR="007D24F6">
        <w:rPr>
          <w:szCs w:val="24"/>
        </w:rPr>
        <w:t>until</w:t>
      </w:r>
      <w:r w:rsidR="00A34E53">
        <w:rPr>
          <w:szCs w:val="24"/>
        </w:rPr>
        <w:t xml:space="preserve"> the time since </w:t>
      </w:r>
      <w:r w:rsidR="006C096D">
        <w:rPr>
          <w:szCs w:val="24"/>
        </w:rPr>
        <w:t xml:space="preserve">the </w:t>
      </w:r>
      <w:r w:rsidR="0003582B">
        <w:rPr>
          <w:szCs w:val="24"/>
        </w:rPr>
        <w:t>leak</w:t>
      </w:r>
      <w:r w:rsidR="00A34E53">
        <w:rPr>
          <w:szCs w:val="24"/>
        </w:rPr>
        <w:t xml:space="preserve"> </w:t>
      </w:r>
      <w:r w:rsidR="007D24F6">
        <w:rPr>
          <w:szCs w:val="24"/>
        </w:rPr>
        <w:t>repair has</w:t>
      </w:r>
      <w:r w:rsidR="006C096D">
        <w:rPr>
          <w:szCs w:val="24"/>
        </w:rPr>
        <w:t xml:space="preserve"> </w:t>
      </w:r>
      <w:r w:rsidR="00C03EB9">
        <w:rPr>
          <w:szCs w:val="24"/>
        </w:rPr>
        <w:t xml:space="preserve">at least </w:t>
      </w:r>
      <w:r w:rsidR="00A34E53">
        <w:rPr>
          <w:szCs w:val="24"/>
        </w:rPr>
        <w:t>doubled</w:t>
      </w:r>
      <w:r w:rsidR="00DA5310">
        <w:rPr>
          <w:szCs w:val="24"/>
        </w:rPr>
        <w:t>.</w:t>
      </w:r>
    </w:p>
    <w:p w14:paraId="20CB82BE" w14:textId="77777777" w:rsidR="00DA5310" w:rsidRDefault="00DA5310" w:rsidP="00DA5310">
      <w:pPr>
        <w:jc w:val="both"/>
        <w:rPr>
          <w:szCs w:val="24"/>
        </w:rPr>
      </w:pPr>
    </w:p>
    <w:p w14:paraId="0BC09AE7" w14:textId="7E5A1677" w:rsidR="00AC2AE6" w:rsidRDefault="00DA5310" w:rsidP="00DA5310">
      <w:pPr>
        <w:jc w:val="both"/>
        <w:rPr>
          <w:szCs w:val="24"/>
        </w:rPr>
      </w:pPr>
      <w:r>
        <w:rPr>
          <w:szCs w:val="24"/>
        </w:rPr>
        <w:t>On the other hand, as discussed earlier, determining the</w:t>
      </w:r>
      <w:r w:rsidR="00AF6A82">
        <w:rPr>
          <w:szCs w:val="24"/>
        </w:rPr>
        <w:t xml:space="preserve"> residual</w:t>
      </w:r>
      <w:r>
        <w:rPr>
          <w:szCs w:val="24"/>
        </w:rPr>
        <w:t xml:space="preserve"> water vapor pressure has proven difficult and uncertain. The presumed source rate used here is based on a single measurement, and we have no </w:t>
      </w:r>
      <w:r w:rsidR="00AF6A82">
        <w:rPr>
          <w:szCs w:val="24"/>
        </w:rPr>
        <w:t>proven</w:t>
      </w:r>
      <w:r>
        <w:rPr>
          <w:szCs w:val="24"/>
        </w:rPr>
        <w:t xml:space="preserve"> </w:t>
      </w:r>
      <w:r w:rsidR="00AC2AE6">
        <w:rPr>
          <w:szCs w:val="24"/>
        </w:rPr>
        <w:t xml:space="preserve">model to fall back on. </w:t>
      </w:r>
    </w:p>
    <w:p w14:paraId="141AFAF9" w14:textId="77777777" w:rsidR="00AC2AE6" w:rsidRDefault="00AC2AE6" w:rsidP="00DA5310">
      <w:pPr>
        <w:jc w:val="both"/>
        <w:rPr>
          <w:szCs w:val="24"/>
        </w:rPr>
      </w:pPr>
    </w:p>
    <w:p w14:paraId="69C34EC1" w14:textId="0548706F" w:rsidR="00A4602A" w:rsidRDefault="00A34E53" w:rsidP="00C03EB9">
      <w:pPr>
        <w:jc w:val="both"/>
      </w:pPr>
      <w:r>
        <w:rPr>
          <w:szCs w:val="24"/>
        </w:rPr>
        <w:t xml:space="preserve">If we </w:t>
      </w:r>
      <w:r w:rsidR="00AC2AE6">
        <w:rPr>
          <w:szCs w:val="24"/>
        </w:rPr>
        <w:t>pessimistically take</w:t>
      </w:r>
      <w:r>
        <w:rPr>
          <w:szCs w:val="24"/>
        </w:rPr>
        <w:t xml:space="preserve"> the</w:t>
      </w:r>
      <w:r w:rsidR="00AC2AE6">
        <w:rPr>
          <w:szCs w:val="24"/>
        </w:rPr>
        <w:t xml:space="preserve"> </w:t>
      </w:r>
      <w:r w:rsidR="00AF6A82">
        <w:rPr>
          <w:szCs w:val="24"/>
        </w:rPr>
        <w:t>1.6</w:t>
      </w:r>
      <w:r w:rsidR="001B26C5">
        <w:rPr>
          <w:szCs w:val="24"/>
        </w:rPr>
        <w:t>x</w:t>
      </w:r>
      <w:r w:rsidR="00AF6A82">
        <w:rPr>
          <w:szCs w:val="24"/>
        </w:rPr>
        <w:t>10</w:t>
      </w:r>
      <w:r w:rsidR="00AF6A82" w:rsidRPr="002D3753">
        <w:rPr>
          <w:szCs w:val="24"/>
          <w:vertAlign w:val="superscript"/>
        </w:rPr>
        <w:t>-9</w:t>
      </w:r>
      <w:r w:rsidR="00AF6A82">
        <w:rPr>
          <w:szCs w:val="24"/>
        </w:rPr>
        <w:t xml:space="preserve"> torr </w:t>
      </w:r>
      <w:r w:rsidR="007733AB">
        <w:rPr>
          <w:szCs w:val="24"/>
        </w:rPr>
        <w:t xml:space="preserve">Y2-1 </w:t>
      </w:r>
      <w:r>
        <w:rPr>
          <w:szCs w:val="24"/>
        </w:rPr>
        <w:t>upper limit measured</w:t>
      </w:r>
      <w:r w:rsidR="00AF6A82">
        <w:rPr>
          <w:szCs w:val="24"/>
        </w:rPr>
        <w:t xml:space="preserve"> in April 2015 </w:t>
      </w:r>
      <w:r>
        <w:rPr>
          <w:szCs w:val="24"/>
        </w:rPr>
        <w:t xml:space="preserve">(with end pumping active) </w:t>
      </w:r>
      <w:r w:rsidR="001B26C5">
        <w:rPr>
          <w:szCs w:val="24"/>
        </w:rPr>
        <w:t>as a "worst-case</w:t>
      </w:r>
      <w:r w:rsidR="00AC2AE6">
        <w:rPr>
          <w:szCs w:val="24"/>
        </w:rPr>
        <w:t xml:space="preserve">" </w:t>
      </w:r>
      <w:r>
        <w:rPr>
          <w:szCs w:val="24"/>
        </w:rPr>
        <w:t xml:space="preserve">estimate of </w:t>
      </w:r>
      <w:r w:rsidR="00AF6A82">
        <w:rPr>
          <w:szCs w:val="24"/>
        </w:rPr>
        <w:t xml:space="preserve">peak </w:t>
      </w:r>
      <w:r>
        <w:rPr>
          <w:szCs w:val="24"/>
        </w:rPr>
        <w:t xml:space="preserve">(central) </w:t>
      </w:r>
      <w:r w:rsidR="00AF6A82">
        <w:rPr>
          <w:szCs w:val="24"/>
        </w:rPr>
        <w:t xml:space="preserve">water vapor pressure, </w:t>
      </w:r>
      <w:r>
        <w:rPr>
          <w:szCs w:val="24"/>
        </w:rPr>
        <w:t>impl</w:t>
      </w:r>
      <w:r w:rsidR="007D24F6">
        <w:rPr>
          <w:szCs w:val="24"/>
        </w:rPr>
        <w:t>ying</w:t>
      </w:r>
      <w:r>
        <w:rPr>
          <w:szCs w:val="24"/>
        </w:rPr>
        <w:t xml:space="preserve"> an effective </w:t>
      </w:r>
      <w:r w:rsidR="00AF6A82">
        <w:rPr>
          <w:szCs w:val="24"/>
        </w:rPr>
        <w:t>mean pressure 1.</w:t>
      </w:r>
      <w:r>
        <w:rPr>
          <w:szCs w:val="24"/>
        </w:rPr>
        <w:t>1</w:t>
      </w:r>
      <w:r w:rsidR="0003582B">
        <w:rPr>
          <w:szCs w:val="24"/>
        </w:rPr>
        <w:t>x</w:t>
      </w:r>
      <w:r w:rsidR="00AF6A82">
        <w:rPr>
          <w:szCs w:val="24"/>
        </w:rPr>
        <w:t>10</w:t>
      </w:r>
      <w:r w:rsidR="00AF6A82" w:rsidRPr="002D3753">
        <w:rPr>
          <w:szCs w:val="24"/>
          <w:vertAlign w:val="superscript"/>
        </w:rPr>
        <w:t>-9</w:t>
      </w:r>
      <w:r w:rsidR="001B26C5">
        <w:rPr>
          <w:szCs w:val="24"/>
        </w:rPr>
        <w:t xml:space="preserve"> </w:t>
      </w:r>
      <w:r w:rsidR="006C096D">
        <w:rPr>
          <w:szCs w:val="24"/>
        </w:rPr>
        <w:t>torr</w:t>
      </w:r>
      <w:r w:rsidR="007D24F6">
        <w:rPr>
          <w:szCs w:val="24"/>
        </w:rPr>
        <w:t xml:space="preserve">, the </w:t>
      </w:r>
      <w:r w:rsidR="007733AB">
        <w:rPr>
          <w:szCs w:val="24"/>
        </w:rPr>
        <w:t xml:space="preserve">corresponding </w:t>
      </w:r>
      <w:r w:rsidR="001B26C5">
        <w:rPr>
          <w:szCs w:val="24"/>
        </w:rPr>
        <w:t xml:space="preserve">outgassing flux </w:t>
      </w:r>
      <w:r w:rsidR="007D24F6">
        <w:rPr>
          <w:szCs w:val="24"/>
        </w:rPr>
        <w:t xml:space="preserve">is </w:t>
      </w:r>
      <w:r w:rsidR="001B26C5">
        <w:rPr>
          <w:szCs w:val="24"/>
        </w:rPr>
        <w:t>4.</w:t>
      </w:r>
      <w:r>
        <w:rPr>
          <w:szCs w:val="24"/>
        </w:rPr>
        <w:t>8</w:t>
      </w:r>
      <w:r w:rsidR="0003582B">
        <w:rPr>
          <w:szCs w:val="24"/>
        </w:rPr>
        <w:t>x</w:t>
      </w:r>
      <w:r w:rsidR="001B26C5">
        <w:rPr>
          <w:szCs w:val="24"/>
        </w:rPr>
        <w:t>10</w:t>
      </w:r>
      <w:r w:rsidR="001B26C5" w:rsidRPr="002D3753">
        <w:rPr>
          <w:szCs w:val="24"/>
          <w:vertAlign w:val="superscript"/>
        </w:rPr>
        <w:t>-</w:t>
      </w:r>
      <w:r w:rsidR="001B26C5">
        <w:rPr>
          <w:szCs w:val="24"/>
          <w:vertAlign w:val="superscript"/>
        </w:rPr>
        <w:t>1</w:t>
      </w:r>
      <w:r w:rsidR="007733AB">
        <w:rPr>
          <w:szCs w:val="24"/>
          <w:vertAlign w:val="superscript"/>
        </w:rPr>
        <w:t>5</w:t>
      </w:r>
      <w:r w:rsidR="001B26C5">
        <w:rPr>
          <w:szCs w:val="24"/>
        </w:rPr>
        <w:t xml:space="preserve"> Tl/s/cm</w:t>
      </w:r>
      <w:r w:rsidR="001B26C5" w:rsidRPr="001B26C5">
        <w:rPr>
          <w:szCs w:val="24"/>
          <w:vertAlign w:val="superscript"/>
        </w:rPr>
        <w:t>2</w:t>
      </w:r>
      <w:r>
        <w:rPr>
          <w:szCs w:val="24"/>
        </w:rPr>
        <w:t xml:space="preserve">. </w:t>
      </w:r>
      <w:r w:rsidR="007733AB">
        <w:rPr>
          <w:szCs w:val="24"/>
        </w:rPr>
        <w:t xml:space="preserve"> In this instance, case 4 (four pumps) just brings the phase noise to 1/10 the minimum of </w:t>
      </w:r>
      <m:oMath>
        <m:acc>
          <m:accPr>
            <m:chr m:val="̃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h</m:t>
            </m:r>
          </m:e>
        </m:acc>
        <m:r>
          <w:rPr>
            <w:rFonts w:ascii="Cambria Math" w:hAnsi="Cambria Math"/>
            <w:szCs w:val="24"/>
          </w:rPr>
          <m:t>(</m:t>
        </m:r>
        <m:r>
          <w:rPr>
            <w:rFonts w:ascii="Cambria Math" w:hAnsi="Cambria Math"/>
            <w:szCs w:val="24"/>
            <w:vertAlign w:val="subscript"/>
          </w:rPr>
          <m:t>f</m:t>
        </m:r>
        <m:r>
          <w:rPr>
            <w:rFonts w:ascii="Cambria Math" w:hAnsi="Cambria Math"/>
            <w:szCs w:val="24"/>
          </w:rPr>
          <m:t>)</m:t>
        </m:r>
      </m:oMath>
      <w:r w:rsidR="007733AB">
        <w:rPr>
          <w:szCs w:val="24"/>
        </w:rPr>
        <w:t>.</w:t>
      </w:r>
    </w:p>
    <w:p w14:paraId="79C860DA" w14:textId="644E829B" w:rsidR="00EB09E7" w:rsidRDefault="001133AE" w:rsidP="00EB09E7">
      <w:pPr>
        <w:pStyle w:val="RegPara"/>
        <w:keepNext/>
        <w:jc w:val="center"/>
      </w:pPr>
      <w:r>
        <w:rPr>
          <w:noProof/>
        </w:rPr>
        <w:drawing>
          <wp:inline distT="0" distB="0" distL="0" distR="0" wp14:anchorId="2923F8B8" wp14:editId="25915EC9">
            <wp:extent cx="3899858" cy="3285067"/>
            <wp:effectExtent l="0" t="0" r="12065" b="0"/>
            <wp:docPr id="16" name="Picture 16" descr="Macintosh HD:Users:mike:Documents:Vacuum:LLO_YLEAK:WaterModel:FIg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mike:Documents:Vacuum:LLO_YLEAK:WaterModel:FIg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133" cy="328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23F4D" w14:textId="69007D93" w:rsidR="00EB09E7" w:rsidRDefault="00EB09E7" w:rsidP="00A4602A">
      <w:pPr>
        <w:pStyle w:val="Caption"/>
        <w:jc w:val="center"/>
      </w:pPr>
      <w:bookmarkStart w:id="6" w:name="_Ref291868794"/>
      <w:r>
        <w:t xml:space="preserve">Figure </w:t>
      </w:r>
      <w:fldSimple w:instr=" SEQ Figure \* ARABIC ">
        <w:r w:rsidR="00F447D3">
          <w:rPr>
            <w:noProof/>
          </w:rPr>
          <w:t>4</w:t>
        </w:r>
      </w:fldSimple>
      <w:bookmarkEnd w:id="6"/>
      <w:r>
        <w:t xml:space="preserve">: Strain </w:t>
      </w:r>
      <w:r w:rsidR="00A54512">
        <w:t xml:space="preserve">noise </w:t>
      </w:r>
      <w:r>
        <w:t>frequency dependence</w:t>
      </w:r>
      <w:r w:rsidR="005B0684">
        <w:t>.</w:t>
      </w:r>
    </w:p>
    <w:p w14:paraId="52DE5F5F" w14:textId="77777777" w:rsidR="00A4602A" w:rsidRPr="00A4602A" w:rsidRDefault="00A4602A" w:rsidP="00A4602A"/>
    <w:p w14:paraId="00EDFDA7" w14:textId="470DFA7C" w:rsidR="001A1AB6" w:rsidRDefault="00A4602A" w:rsidP="002D0040">
      <w:pPr>
        <w:pStyle w:val="RegPara"/>
        <w:jc w:val="both"/>
      </w:pPr>
      <w:r>
        <w:rPr>
          <w:b/>
          <w:szCs w:val="24"/>
        </w:rPr>
        <w:t>Appendix: Frequency response.</w:t>
      </w:r>
      <w:r w:rsidRPr="002B71EC">
        <w:rPr>
          <w:szCs w:val="24"/>
        </w:rPr>
        <w:t xml:space="preserve"> </w:t>
      </w:r>
      <w:r>
        <w:rPr>
          <w:szCs w:val="24"/>
        </w:rPr>
        <w:t xml:space="preserve"> Since </w:t>
      </w:r>
      <w:r w:rsidR="00C03EB9">
        <w:rPr>
          <w:szCs w:val="24"/>
        </w:rPr>
        <w:t xml:space="preserve">the </w:t>
      </w:r>
      <w:r>
        <w:rPr>
          <w:szCs w:val="24"/>
        </w:rPr>
        <w:t xml:space="preserve">closest approach to </w:t>
      </w:r>
      <w:r w:rsidR="006C096D">
        <w:rPr>
          <w:szCs w:val="24"/>
        </w:rPr>
        <w:t>the</w:t>
      </w:r>
      <w:r>
        <w:rPr>
          <w:szCs w:val="24"/>
        </w:rPr>
        <w:t xml:space="preserve"> ultimate strain envelope occurs at the "high" frequency</w:t>
      </w:r>
      <w:r w:rsidR="006C096D">
        <w:rPr>
          <w:szCs w:val="24"/>
        </w:rPr>
        <w:t xml:space="preserve"> of 250 Hz, and frequency response is also affected by beam radius, it was worth double-</w:t>
      </w:r>
      <w:r>
        <w:rPr>
          <w:szCs w:val="24"/>
        </w:rPr>
        <w:t xml:space="preserve">checking. As shown in </w:t>
      </w:r>
      <w:r>
        <w:rPr>
          <w:szCs w:val="24"/>
        </w:rPr>
        <w:fldChar w:fldCharType="begin"/>
      </w:r>
      <w:r>
        <w:rPr>
          <w:szCs w:val="24"/>
        </w:rPr>
        <w:instrText xml:space="preserve"> REF _Ref291868794 \h </w:instrText>
      </w:r>
      <w:r>
        <w:rPr>
          <w:szCs w:val="24"/>
        </w:rPr>
      </w:r>
      <w:r>
        <w:rPr>
          <w:szCs w:val="24"/>
        </w:rPr>
        <w:fldChar w:fldCharType="separate"/>
      </w:r>
      <w:r w:rsidR="00F447D3">
        <w:t xml:space="preserve">Figure </w:t>
      </w:r>
      <w:r w:rsidR="00F447D3">
        <w:rPr>
          <w:noProof/>
        </w:rPr>
        <w:t>4</w:t>
      </w:r>
      <w:r>
        <w:rPr>
          <w:szCs w:val="24"/>
        </w:rPr>
        <w:fldChar w:fldCharType="end"/>
      </w:r>
      <w:r>
        <w:rPr>
          <w:szCs w:val="24"/>
        </w:rPr>
        <w:t xml:space="preserve">, the index fluctuation noise at 250 Hz is within 3% of the DC asymptote for water vapor.  Frequency response </w:t>
      </w:r>
      <w:r w:rsidR="006C096D">
        <w:rPr>
          <w:szCs w:val="24"/>
        </w:rPr>
        <w:t>was thus</w:t>
      </w:r>
      <w:r>
        <w:rPr>
          <w:szCs w:val="24"/>
        </w:rPr>
        <w:t xml:space="preserve"> neglected in the calculations</w:t>
      </w:r>
      <w:r w:rsidR="002D0040">
        <w:rPr>
          <w:szCs w:val="24"/>
        </w:rPr>
        <w:t xml:space="preserve"> cited</w:t>
      </w:r>
      <w:r>
        <w:rPr>
          <w:szCs w:val="24"/>
        </w:rPr>
        <w:t xml:space="preserve"> above. </w:t>
      </w:r>
    </w:p>
    <w:sectPr w:rsidR="001A1AB6" w:rsidSect="000F618D">
      <w:footerReference w:type="default" r:id="rId15"/>
      <w:pgSz w:w="12240" w:h="15840" w:code="1"/>
      <w:pgMar w:top="1267" w:right="1800" w:bottom="1440" w:left="180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82DB5" w14:textId="77777777" w:rsidR="00875136" w:rsidRDefault="00875136">
      <w:r>
        <w:separator/>
      </w:r>
    </w:p>
  </w:endnote>
  <w:endnote w:type="continuationSeparator" w:id="0">
    <w:p w14:paraId="6A925DE7" w14:textId="77777777" w:rsidR="00875136" w:rsidRDefault="0087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94EBD" w14:textId="77777777" w:rsidR="00875136" w:rsidRDefault="00875136">
    <w:pPr>
      <w:pStyle w:val="Footer"/>
      <w:tabs>
        <w:tab w:val="clear" w:pos="4320"/>
        <w:tab w:val="clear" w:pos="8640"/>
        <w:tab w:val="left" w:pos="3060"/>
        <w:tab w:val="left" w:pos="7830"/>
      </w:tabs>
    </w:pPr>
    <w:r>
      <w:rPr>
        <w:rFonts w:ascii="Arial" w:hAnsi="Arial"/>
        <w:i/>
        <w:sz w:val="14"/>
      </w:rPr>
      <w:tab/>
      <w:t>CALIFORNIA INSTITUTE OF TECHNOLOGY</w:t>
    </w:r>
    <w:r>
      <w:rPr>
        <w:rFonts w:ascii="Arial" w:hAnsi="Arial"/>
        <w:i/>
        <w:sz w:val="14"/>
      </w:rPr>
      <w:tab/>
    </w:r>
    <w:r>
      <w:rPr>
        <w:rFonts w:ascii="Arial" w:hAnsi="Arial"/>
        <w:snapToGrid w:val="0"/>
        <w:sz w:val="14"/>
      </w:rPr>
      <w:t xml:space="preserve">Page </w:t>
    </w:r>
    <w:r>
      <w:rPr>
        <w:rFonts w:ascii="Arial" w:hAnsi="Arial"/>
        <w:snapToGrid w:val="0"/>
        <w:sz w:val="14"/>
      </w:rPr>
      <w:fldChar w:fldCharType="begin"/>
    </w:r>
    <w:r>
      <w:rPr>
        <w:rFonts w:ascii="Arial" w:hAnsi="Arial"/>
        <w:snapToGrid w:val="0"/>
        <w:sz w:val="14"/>
      </w:rPr>
      <w:instrText xml:space="preserve"> PAGE </w:instrText>
    </w:r>
    <w:r>
      <w:rPr>
        <w:rFonts w:ascii="Arial" w:hAnsi="Arial"/>
        <w:snapToGrid w:val="0"/>
        <w:sz w:val="14"/>
      </w:rPr>
      <w:fldChar w:fldCharType="separate"/>
    </w:r>
    <w:r w:rsidR="00F447D3">
      <w:rPr>
        <w:rFonts w:ascii="Arial" w:hAnsi="Arial"/>
        <w:noProof/>
        <w:snapToGrid w:val="0"/>
        <w:sz w:val="14"/>
      </w:rPr>
      <w:t>1</w:t>
    </w:r>
    <w:r>
      <w:rPr>
        <w:rFonts w:ascii="Arial" w:hAnsi="Arial"/>
        <w:snapToGrid w:val="0"/>
        <w:sz w:val="14"/>
      </w:rPr>
      <w:fldChar w:fldCharType="end"/>
    </w:r>
    <w:r>
      <w:rPr>
        <w:rFonts w:ascii="Arial" w:hAnsi="Arial"/>
        <w:snapToGrid w:val="0"/>
        <w:sz w:val="14"/>
      </w:rPr>
      <w:t xml:space="preserve"> of </w:t>
    </w:r>
    <w:r>
      <w:rPr>
        <w:rFonts w:ascii="Arial" w:hAnsi="Arial"/>
        <w:snapToGrid w:val="0"/>
        <w:sz w:val="14"/>
      </w:rPr>
      <w:fldChar w:fldCharType="begin"/>
    </w:r>
    <w:r>
      <w:rPr>
        <w:rFonts w:ascii="Arial" w:hAnsi="Arial"/>
        <w:snapToGrid w:val="0"/>
        <w:sz w:val="14"/>
      </w:rPr>
      <w:instrText xml:space="preserve"> NUMPAGES </w:instrText>
    </w:r>
    <w:r>
      <w:rPr>
        <w:rFonts w:ascii="Arial" w:hAnsi="Arial"/>
        <w:snapToGrid w:val="0"/>
        <w:sz w:val="14"/>
      </w:rPr>
      <w:fldChar w:fldCharType="separate"/>
    </w:r>
    <w:r w:rsidR="00F447D3">
      <w:rPr>
        <w:rFonts w:ascii="Arial" w:hAnsi="Arial"/>
        <w:noProof/>
        <w:snapToGrid w:val="0"/>
        <w:sz w:val="14"/>
      </w:rPr>
      <w:t>2</w:t>
    </w:r>
    <w:r>
      <w:rPr>
        <w:rFonts w:ascii="Arial" w:hAnsi="Arial"/>
        <w:snapToGrid w:val="0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85EFA" w14:textId="77777777" w:rsidR="00875136" w:rsidRDefault="00875136">
      <w:r>
        <w:separator/>
      </w:r>
    </w:p>
  </w:footnote>
  <w:footnote w:type="continuationSeparator" w:id="0">
    <w:p w14:paraId="308D1BE6" w14:textId="77777777" w:rsidR="00875136" w:rsidRDefault="00875136">
      <w:r>
        <w:continuationSeparator/>
      </w:r>
    </w:p>
  </w:footnote>
  <w:footnote w:id="1">
    <w:p w14:paraId="7E3C73A1" w14:textId="0BE7C3FF" w:rsidR="00875136" w:rsidRDefault="00875136" w:rsidP="003C24E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45F7B">
          <w:rPr>
            <w:rStyle w:val="Hyperlink"/>
          </w:rPr>
          <w:t>M890001</w:t>
        </w:r>
      </w:hyperlink>
      <w:r>
        <w:t xml:space="preserve"> table IV-D-1, p.49; for aLIGO, the original "goal" is now a "requirement"</w:t>
      </w:r>
    </w:p>
  </w:footnote>
  <w:footnote w:id="2">
    <w:p w14:paraId="7CB65C59" w14:textId="341F715D" w:rsidR="00875136" w:rsidRPr="00E57F23" w:rsidRDefault="00875136" w:rsidP="00961D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467D05">
          <w:rPr>
            <w:rStyle w:val="Hyperlink"/>
          </w:rPr>
          <w:t>T08</w:t>
        </w:r>
        <w:r w:rsidRPr="00467D05">
          <w:rPr>
            <w:rStyle w:val="Hyperlink"/>
          </w:rPr>
          <w:t>0</w:t>
        </w:r>
        <w:r w:rsidRPr="00467D05">
          <w:rPr>
            <w:rStyle w:val="Hyperlink"/>
          </w:rPr>
          <w:t>330</w:t>
        </w:r>
      </w:hyperlink>
      <w:r>
        <w:t xml:space="preserve"> equation 2</w:t>
      </w:r>
    </w:p>
  </w:footnote>
  <w:footnote w:id="3">
    <w:p w14:paraId="577062B8" w14:textId="77777777" w:rsidR="00875136" w:rsidRDefault="00875136" w:rsidP="00790EF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9667EF">
          <w:rPr>
            <w:rStyle w:val="Hyperlink"/>
          </w:rPr>
          <w:t>T1400713</w:t>
        </w:r>
      </w:hyperlink>
    </w:p>
  </w:footnote>
  <w:footnote w:id="4">
    <w:p w14:paraId="4C2CEFB0" w14:textId="29EA18F7" w:rsidR="00875136" w:rsidRDefault="00875136">
      <w:pPr>
        <w:pStyle w:val="FootnoteText"/>
      </w:pPr>
      <w:r>
        <w:rPr>
          <w:rStyle w:val="FootnoteReference"/>
        </w:rPr>
        <w:footnoteRef/>
      </w:r>
      <w:r>
        <w:t xml:space="preserve"> LLO log entries  # </w:t>
      </w:r>
      <w:hyperlink r:id="rId4" w:history="1">
        <w:r w:rsidRPr="008B56A2">
          <w:rPr>
            <w:rStyle w:val="Hyperlink"/>
          </w:rPr>
          <w:t>17834</w:t>
        </w:r>
      </w:hyperlink>
      <w:r>
        <w:t xml:space="preserve"> , </w:t>
      </w:r>
      <w:hyperlink r:id="rId5" w:history="1">
        <w:r w:rsidRPr="008B56A2">
          <w:rPr>
            <w:rStyle w:val="Hyperlink"/>
          </w:rPr>
          <w:t>17827</w:t>
        </w:r>
      </w:hyperlink>
      <w:r>
        <w:t xml:space="preserve"> , </w:t>
      </w:r>
      <w:hyperlink r:id="rId6" w:history="1">
        <w:r w:rsidRPr="002D3753">
          <w:rPr>
            <w:rStyle w:val="Hyperlink"/>
          </w:rPr>
          <w:t>16971</w:t>
        </w:r>
      </w:hyperlink>
    </w:p>
  </w:footnote>
  <w:footnote w:id="5">
    <w:p w14:paraId="78EBA6A4" w14:textId="690508A1" w:rsidR="00875136" w:rsidRDefault="0087513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7" w:history="1">
        <w:r w:rsidRPr="000D474B">
          <w:rPr>
            <w:rStyle w:val="Hyperlink"/>
          </w:rPr>
          <w:t>D950031</w:t>
        </w:r>
      </w:hyperlink>
      <w:r>
        <w:t xml:space="preserve"> sheet 3</w:t>
      </w:r>
    </w:p>
  </w:footnote>
  <w:footnote w:id="6">
    <w:p w14:paraId="6D07987A" w14:textId="321F015F" w:rsidR="00875136" w:rsidRDefault="00875136" w:rsidP="002C1D00">
      <w:pPr>
        <w:pStyle w:val="FootnoteText"/>
      </w:pPr>
      <w:r>
        <w:rPr>
          <w:rStyle w:val="FootnoteReference"/>
        </w:rPr>
        <w:footnoteRef/>
      </w:r>
      <w:r>
        <w:t xml:space="preserve"> Gamma Vacuum model 1200LX DI (dual Ti/Ta elements); 534 l/s net, assuming 20 cm dia. x 20 cm connecting tube.  Selecting all Ti elements could achieve 830 l/s net, at some increased risk of noble gas instability.  </w:t>
      </w:r>
    </w:p>
  </w:footnote>
  <w:footnote w:id="7">
    <w:p w14:paraId="71F6BC72" w14:textId="76FF2D37" w:rsidR="00875136" w:rsidRDefault="00875136">
      <w:pPr>
        <w:pStyle w:val="FootnoteText"/>
      </w:pPr>
      <w:r>
        <w:rPr>
          <w:rStyle w:val="FootnoteReference"/>
        </w:rPr>
        <w:footnoteRef/>
      </w:r>
      <w:r>
        <w:t xml:space="preserve"> 10</w:t>
      </w:r>
      <w:r w:rsidRPr="00B0680C">
        <w:rPr>
          <w:vertAlign w:val="superscript"/>
        </w:rPr>
        <w:t>4</w:t>
      </w:r>
      <w:r>
        <w:t xml:space="preserve"> to 10</w:t>
      </w:r>
      <w:r w:rsidRPr="00B0680C">
        <w:rPr>
          <w:vertAlign w:val="superscript"/>
        </w:rPr>
        <w:t>5</w:t>
      </w:r>
      <w:r>
        <w:t xml:space="preserve"> relaxations were required per case, depending on pump arrangement. The five cases presented here took a total of 3 seconds to converge on a 2.3 GHz Mac PowerBook Pro  running Matlab R2014a.</w:t>
      </w:r>
    </w:p>
  </w:footnote>
  <w:footnote w:id="8">
    <w:p w14:paraId="290C18D2" w14:textId="39364A87" w:rsidR="00875136" w:rsidRDefault="0087513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8" w:history="1">
        <w:r w:rsidRPr="00220FBA">
          <w:rPr>
            <w:rStyle w:val="Hyperlink"/>
          </w:rPr>
          <w:t>P1400177</w:t>
        </w:r>
      </w:hyperlink>
    </w:p>
  </w:footnote>
  <w:footnote w:id="9">
    <w:p w14:paraId="6EC9BF65" w14:textId="284F3179" w:rsidR="00875136" w:rsidRDefault="00875136">
      <w:pPr>
        <w:pStyle w:val="FootnoteText"/>
      </w:pPr>
      <w:r>
        <w:rPr>
          <w:rStyle w:val="FootnoteReference"/>
        </w:rPr>
        <w:footnoteRef/>
      </w:r>
      <w:r>
        <w:t xml:space="preserve"> Modified to bring molecular number density </w:t>
      </w:r>
      <m:oMath>
        <m:r>
          <w:rPr>
            <w:rFonts w:ascii="Cambria Math" w:hAnsi="Cambria Math"/>
          </w:rPr>
          <m:t>ρ</m:t>
        </m:r>
      </m:oMath>
      <w:r>
        <w:t xml:space="preserve"> inside the integral.</w:t>
      </w:r>
    </w:p>
  </w:footnote>
  <w:footnote w:id="10">
    <w:p w14:paraId="6DE6E754" w14:textId="1D59F1BB" w:rsidR="00875136" w:rsidRDefault="00875136">
      <w:pPr>
        <w:pStyle w:val="FootnoteText"/>
      </w:pPr>
      <w:r>
        <w:rPr>
          <w:rStyle w:val="FootnoteReference"/>
        </w:rPr>
        <w:footnoteRef/>
      </w:r>
      <w:r>
        <w:t xml:space="preserve"> e.g., </w:t>
      </w:r>
      <w:hyperlink r:id="rId9" w:history="1">
        <w:r w:rsidRPr="00C45F7B">
          <w:rPr>
            <w:rStyle w:val="Hyperlink"/>
          </w:rPr>
          <w:t>M890001</w:t>
        </w:r>
      </w:hyperlink>
      <w:r>
        <w:t xml:space="preserve"> , </w:t>
      </w:r>
      <w:hyperlink r:id="rId10" w:history="1">
        <w:r w:rsidRPr="00220FBA">
          <w:rPr>
            <w:rStyle w:val="Hyperlink"/>
          </w:rPr>
          <w:t>G950082</w:t>
        </w:r>
      </w:hyperlink>
      <w:r>
        <w:t xml:space="preserve"> or </w:t>
      </w:r>
      <w:hyperlink r:id="rId11" w:history="1">
        <w:r w:rsidRPr="00220FBA">
          <w:rPr>
            <w:rStyle w:val="Hyperlink"/>
          </w:rPr>
          <w:t>G1300116</w:t>
        </w:r>
      </w:hyperlink>
    </w:p>
  </w:footnote>
  <w:footnote w:id="11">
    <w:p w14:paraId="312AF933" w14:textId="4389FE57" w:rsidR="00875136" w:rsidRDefault="00875136">
      <w:pPr>
        <w:pStyle w:val="FootnoteText"/>
      </w:pPr>
      <w:r>
        <w:rPr>
          <w:rStyle w:val="FootnoteReference"/>
        </w:rPr>
        <w:footnoteRef/>
      </w:r>
      <w:r>
        <w:t xml:space="preserve"> our customary margin for "</w:t>
      </w:r>
      <w:r w:rsidR="00C03EB9">
        <w:t>technic</w:t>
      </w:r>
      <w:r>
        <w:t xml:space="preserve">al" noise terms.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3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F933BA"/>
    <w:multiLevelType w:val="hybridMultilevel"/>
    <w:tmpl w:val="5D9A5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23137"/>
    <w:multiLevelType w:val="hybridMultilevel"/>
    <w:tmpl w:val="8F7E7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0E2CEF"/>
    <w:multiLevelType w:val="hybridMultilevel"/>
    <w:tmpl w:val="20E8E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2002E1"/>
    <w:multiLevelType w:val="hybridMultilevel"/>
    <w:tmpl w:val="4412E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665915"/>
    <w:multiLevelType w:val="hybridMultilevel"/>
    <w:tmpl w:val="827AF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0249B3"/>
    <w:multiLevelType w:val="hybridMultilevel"/>
    <w:tmpl w:val="4678D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5134AF"/>
    <w:multiLevelType w:val="hybridMultilevel"/>
    <w:tmpl w:val="DCF68B50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>
    <w:nsid w:val="4DE338EE"/>
    <w:multiLevelType w:val="hybridMultilevel"/>
    <w:tmpl w:val="7E3A10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564E03"/>
    <w:multiLevelType w:val="hybridMultilevel"/>
    <w:tmpl w:val="2200C4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42A36"/>
    <w:multiLevelType w:val="hybridMultilevel"/>
    <w:tmpl w:val="20385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2F2902"/>
    <w:multiLevelType w:val="hybridMultilevel"/>
    <w:tmpl w:val="EAD80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1075FC"/>
    <w:multiLevelType w:val="hybridMultilevel"/>
    <w:tmpl w:val="51429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0F0E51"/>
    <w:multiLevelType w:val="hybridMultilevel"/>
    <w:tmpl w:val="E918B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2D2FE1"/>
    <w:multiLevelType w:val="hybridMultilevel"/>
    <w:tmpl w:val="05C24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6"/>
  </w:num>
  <w:num w:numId="5">
    <w:abstractNumId w:val="13"/>
  </w:num>
  <w:num w:numId="6">
    <w:abstractNumId w:val="11"/>
  </w:num>
  <w:num w:numId="7">
    <w:abstractNumId w:val="10"/>
  </w:num>
  <w:num w:numId="8">
    <w:abstractNumId w:val="3"/>
  </w:num>
  <w:num w:numId="9">
    <w:abstractNumId w:val="8"/>
  </w:num>
  <w:num w:numId="10">
    <w:abstractNumId w:val="14"/>
  </w:num>
  <w:num w:numId="11">
    <w:abstractNumId w:val="5"/>
  </w:num>
  <w:num w:numId="12">
    <w:abstractNumId w:val="4"/>
  </w:num>
  <w:num w:numId="13">
    <w:abstractNumId w:val="1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76"/>
    <w:rsid w:val="0000080A"/>
    <w:rsid w:val="000068A8"/>
    <w:rsid w:val="00010DB5"/>
    <w:rsid w:val="0001263D"/>
    <w:rsid w:val="00016077"/>
    <w:rsid w:val="000160D7"/>
    <w:rsid w:val="00021940"/>
    <w:rsid w:val="00026B7B"/>
    <w:rsid w:val="0003582B"/>
    <w:rsid w:val="00054B9B"/>
    <w:rsid w:val="0006052F"/>
    <w:rsid w:val="0006291F"/>
    <w:rsid w:val="00062B9F"/>
    <w:rsid w:val="00077F03"/>
    <w:rsid w:val="00085959"/>
    <w:rsid w:val="00097657"/>
    <w:rsid w:val="000A100B"/>
    <w:rsid w:val="000A1BC1"/>
    <w:rsid w:val="000A1F85"/>
    <w:rsid w:val="000B6C4B"/>
    <w:rsid w:val="000C0050"/>
    <w:rsid w:val="000C78AF"/>
    <w:rsid w:val="000D474B"/>
    <w:rsid w:val="000F45A3"/>
    <w:rsid w:val="000F618D"/>
    <w:rsid w:val="00101A46"/>
    <w:rsid w:val="001133AE"/>
    <w:rsid w:val="00121F14"/>
    <w:rsid w:val="00123AA7"/>
    <w:rsid w:val="00124677"/>
    <w:rsid w:val="00124D94"/>
    <w:rsid w:val="00137F7C"/>
    <w:rsid w:val="00167B17"/>
    <w:rsid w:val="001704F6"/>
    <w:rsid w:val="00182071"/>
    <w:rsid w:val="00185BCB"/>
    <w:rsid w:val="0019244B"/>
    <w:rsid w:val="001A1AB6"/>
    <w:rsid w:val="001B26C5"/>
    <w:rsid w:val="001C10D1"/>
    <w:rsid w:val="001C3A06"/>
    <w:rsid w:val="001D1BF0"/>
    <w:rsid w:val="001D53A7"/>
    <w:rsid w:val="001E35A8"/>
    <w:rsid w:val="001F2185"/>
    <w:rsid w:val="001F4822"/>
    <w:rsid w:val="0020292A"/>
    <w:rsid w:val="00212A33"/>
    <w:rsid w:val="00220FBA"/>
    <w:rsid w:val="00223BB2"/>
    <w:rsid w:val="0022686F"/>
    <w:rsid w:val="00227481"/>
    <w:rsid w:val="00230E0D"/>
    <w:rsid w:val="00236C79"/>
    <w:rsid w:val="00244CE6"/>
    <w:rsid w:val="00257B14"/>
    <w:rsid w:val="00257B82"/>
    <w:rsid w:val="00274052"/>
    <w:rsid w:val="002749E3"/>
    <w:rsid w:val="0028269C"/>
    <w:rsid w:val="002A73DA"/>
    <w:rsid w:val="002B71EC"/>
    <w:rsid w:val="002C1668"/>
    <w:rsid w:val="002C1D00"/>
    <w:rsid w:val="002C1EF4"/>
    <w:rsid w:val="002D0040"/>
    <w:rsid w:val="002D147E"/>
    <w:rsid w:val="002D237F"/>
    <w:rsid w:val="002D3753"/>
    <w:rsid w:val="002D7346"/>
    <w:rsid w:val="002F1368"/>
    <w:rsid w:val="002F2515"/>
    <w:rsid w:val="002F6423"/>
    <w:rsid w:val="00306AC3"/>
    <w:rsid w:val="003075A0"/>
    <w:rsid w:val="00314D6D"/>
    <w:rsid w:val="003234A5"/>
    <w:rsid w:val="00323D25"/>
    <w:rsid w:val="00342194"/>
    <w:rsid w:val="00342BD4"/>
    <w:rsid w:val="00343333"/>
    <w:rsid w:val="003478D0"/>
    <w:rsid w:val="0035517A"/>
    <w:rsid w:val="003606CE"/>
    <w:rsid w:val="003613A8"/>
    <w:rsid w:val="00361548"/>
    <w:rsid w:val="003616C3"/>
    <w:rsid w:val="00366A5D"/>
    <w:rsid w:val="00366DB6"/>
    <w:rsid w:val="00376C04"/>
    <w:rsid w:val="00386B6D"/>
    <w:rsid w:val="003A770C"/>
    <w:rsid w:val="003C24EF"/>
    <w:rsid w:val="003C6EE5"/>
    <w:rsid w:val="003D2CAE"/>
    <w:rsid w:val="003F4E00"/>
    <w:rsid w:val="00404A09"/>
    <w:rsid w:val="004320B8"/>
    <w:rsid w:val="00440F9D"/>
    <w:rsid w:val="00460929"/>
    <w:rsid w:val="00467D05"/>
    <w:rsid w:val="00495D73"/>
    <w:rsid w:val="004A1D9E"/>
    <w:rsid w:val="004B0263"/>
    <w:rsid w:val="004B79F6"/>
    <w:rsid w:val="004E3F02"/>
    <w:rsid w:val="004F3214"/>
    <w:rsid w:val="005012FC"/>
    <w:rsid w:val="00501AB7"/>
    <w:rsid w:val="00516164"/>
    <w:rsid w:val="00516671"/>
    <w:rsid w:val="00534B7C"/>
    <w:rsid w:val="00544D8D"/>
    <w:rsid w:val="0055110B"/>
    <w:rsid w:val="00570F0A"/>
    <w:rsid w:val="0058216A"/>
    <w:rsid w:val="005859C8"/>
    <w:rsid w:val="00587AFA"/>
    <w:rsid w:val="00593830"/>
    <w:rsid w:val="00594D29"/>
    <w:rsid w:val="005959A7"/>
    <w:rsid w:val="005A668D"/>
    <w:rsid w:val="005A7AD7"/>
    <w:rsid w:val="005B0684"/>
    <w:rsid w:val="005B29AB"/>
    <w:rsid w:val="005B2EC0"/>
    <w:rsid w:val="005B3F39"/>
    <w:rsid w:val="005D6516"/>
    <w:rsid w:val="00600F94"/>
    <w:rsid w:val="006069D2"/>
    <w:rsid w:val="006144E0"/>
    <w:rsid w:val="00614761"/>
    <w:rsid w:val="00631F58"/>
    <w:rsid w:val="0064424C"/>
    <w:rsid w:val="00644469"/>
    <w:rsid w:val="00645089"/>
    <w:rsid w:val="00647F1E"/>
    <w:rsid w:val="00652A65"/>
    <w:rsid w:val="006603D0"/>
    <w:rsid w:val="00661FCC"/>
    <w:rsid w:val="006625DA"/>
    <w:rsid w:val="00662DDD"/>
    <w:rsid w:val="0067658E"/>
    <w:rsid w:val="00685AD8"/>
    <w:rsid w:val="0069038E"/>
    <w:rsid w:val="00691EB6"/>
    <w:rsid w:val="0069323F"/>
    <w:rsid w:val="00697CF4"/>
    <w:rsid w:val="006A1A23"/>
    <w:rsid w:val="006A447A"/>
    <w:rsid w:val="006B029A"/>
    <w:rsid w:val="006B7E69"/>
    <w:rsid w:val="006C06D7"/>
    <w:rsid w:val="006C096D"/>
    <w:rsid w:val="006C48D3"/>
    <w:rsid w:val="006D4C7C"/>
    <w:rsid w:val="006F2D8E"/>
    <w:rsid w:val="006F66A6"/>
    <w:rsid w:val="007026AC"/>
    <w:rsid w:val="007071B9"/>
    <w:rsid w:val="00714000"/>
    <w:rsid w:val="007208F2"/>
    <w:rsid w:val="007355DA"/>
    <w:rsid w:val="00753F77"/>
    <w:rsid w:val="00754EE5"/>
    <w:rsid w:val="00756107"/>
    <w:rsid w:val="007733AB"/>
    <w:rsid w:val="0078472C"/>
    <w:rsid w:val="00790EF4"/>
    <w:rsid w:val="007916F9"/>
    <w:rsid w:val="007B36AA"/>
    <w:rsid w:val="007B6C8D"/>
    <w:rsid w:val="007B7F9C"/>
    <w:rsid w:val="007D24F6"/>
    <w:rsid w:val="007F16D2"/>
    <w:rsid w:val="00821C62"/>
    <w:rsid w:val="00824CE4"/>
    <w:rsid w:val="0086542B"/>
    <w:rsid w:val="00865CDC"/>
    <w:rsid w:val="00874633"/>
    <w:rsid w:val="00875136"/>
    <w:rsid w:val="0087695C"/>
    <w:rsid w:val="0087768D"/>
    <w:rsid w:val="00877C2C"/>
    <w:rsid w:val="00880F08"/>
    <w:rsid w:val="00890125"/>
    <w:rsid w:val="00896DF9"/>
    <w:rsid w:val="008B56A2"/>
    <w:rsid w:val="008B679C"/>
    <w:rsid w:val="008C4418"/>
    <w:rsid w:val="008C4BC3"/>
    <w:rsid w:val="008C6475"/>
    <w:rsid w:val="008D4698"/>
    <w:rsid w:val="008F48D2"/>
    <w:rsid w:val="00906695"/>
    <w:rsid w:val="00907BE3"/>
    <w:rsid w:val="00914FC6"/>
    <w:rsid w:val="009153FC"/>
    <w:rsid w:val="00917F3B"/>
    <w:rsid w:val="00930903"/>
    <w:rsid w:val="009316DB"/>
    <w:rsid w:val="00932B57"/>
    <w:rsid w:val="00934CA1"/>
    <w:rsid w:val="00944C50"/>
    <w:rsid w:val="009500F5"/>
    <w:rsid w:val="00961D61"/>
    <w:rsid w:val="009663A1"/>
    <w:rsid w:val="009667EF"/>
    <w:rsid w:val="00970FFC"/>
    <w:rsid w:val="0097753C"/>
    <w:rsid w:val="009840FA"/>
    <w:rsid w:val="00991521"/>
    <w:rsid w:val="00991DC1"/>
    <w:rsid w:val="009D5E4E"/>
    <w:rsid w:val="009E5BDC"/>
    <w:rsid w:val="009F07A0"/>
    <w:rsid w:val="009F6583"/>
    <w:rsid w:val="00A0235C"/>
    <w:rsid w:val="00A12C3A"/>
    <w:rsid w:val="00A177A9"/>
    <w:rsid w:val="00A22D0C"/>
    <w:rsid w:val="00A33494"/>
    <w:rsid w:val="00A34E53"/>
    <w:rsid w:val="00A368D0"/>
    <w:rsid w:val="00A403D2"/>
    <w:rsid w:val="00A431CC"/>
    <w:rsid w:val="00A4602A"/>
    <w:rsid w:val="00A51CCF"/>
    <w:rsid w:val="00A54512"/>
    <w:rsid w:val="00A56D09"/>
    <w:rsid w:val="00A64164"/>
    <w:rsid w:val="00A71729"/>
    <w:rsid w:val="00A84281"/>
    <w:rsid w:val="00A8641F"/>
    <w:rsid w:val="00A95492"/>
    <w:rsid w:val="00AA7427"/>
    <w:rsid w:val="00AB6D08"/>
    <w:rsid w:val="00AC2AE6"/>
    <w:rsid w:val="00AE46D8"/>
    <w:rsid w:val="00AE5A3E"/>
    <w:rsid w:val="00AE6A0D"/>
    <w:rsid w:val="00AF4B5D"/>
    <w:rsid w:val="00AF6A82"/>
    <w:rsid w:val="00B0680C"/>
    <w:rsid w:val="00B139C3"/>
    <w:rsid w:val="00B15944"/>
    <w:rsid w:val="00B1671B"/>
    <w:rsid w:val="00B20566"/>
    <w:rsid w:val="00B21545"/>
    <w:rsid w:val="00B21C3B"/>
    <w:rsid w:val="00B221D7"/>
    <w:rsid w:val="00B45EBA"/>
    <w:rsid w:val="00B52B2E"/>
    <w:rsid w:val="00B558DD"/>
    <w:rsid w:val="00B76377"/>
    <w:rsid w:val="00B7726A"/>
    <w:rsid w:val="00B875BD"/>
    <w:rsid w:val="00B9593C"/>
    <w:rsid w:val="00B96094"/>
    <w:rsid w:val="00BD346B"/>
    <w:rsid w:val="00BE4A76"/>
    <w:rsid w:val="00BE4B2C"/>
    <w:rsid w:val="00C01E9B"/>
    <w:rsid w:val="00C03EB9"/>
    <w:rsid w:val="00C205EF"/>
    <w:rsid w:val="00C217FC"/>
    <w:rsid w:val="00C31CE8"/>
    <w:rsid w:val="00C37901"/>
    <w:rsid w:val="00C42791"/>
    <w:rsid w:val="00C45F7B"/>
    <w:rsid w:val="00C46E8C"/>
    <w:rsid w:val="00C74DE6"/>
    <w:rsid w:val="00C75EF8"/>
    <w:rsid w:val="00C820C1"/>
    <w:rsid w:val="00C83DC4"/>
    <w:rsid w:val="00C936B5"/>
    <w:rsid w:val="00CA646E"/>
    <w:rsid w:val="00CB1CDF"/>
    <w:rsid w:val="00CD4EFC"/>
    <w:rsid w:val="00CD62C4"/>
    <w:rsid w:val="00CE522F"/>
    <w:rsid w:val="00CE714B"/>
    <w:rsid w:val="00CF5317"/>
    <w:rsid w:val="00D016AA"/>
    <w:rsid w:val="00D04A86"/>
    <w:rsid w:val="00D05C0F"/>
    <w:rsid w:val="00D20438"/>
    <w:rsid w:val="00D2715C"/>
    <w:rsid w:val="00D56399"/>
    <w:rsid w:val="00D572F4"/>
    <w:rsid w:val="00D5781F"/>
    <w:rsid w:val="00D60F46"/>
    <w:rsid w:val="00D64D76"/>
    <w:rsid w:val="00D65FFA"/>
    <w:rsid w:val="00D85580"/>
    <w:rsid w:val="00D92C51"/>
    <w:rsid w:val="00DA2F6C"/>
    <w:rsid w:val="00DA5310"/>
    <w:rsid w:val="00DC0489"/>
    <w:rsid w:val="00DC0BC5"/>
    <w:rsid w:val="00DC6864"/>
    <w:rsid w:val="00DD43A8"/>
    <w:rsid w:val="00DF73A8"/>
    <w:rsid w:val="00E022BA"/>
    <w:rsid w:val="00E12B0F"/>
    <w:rsid w:val="00E13A60"/>
    <w:rsid w:val="00E52DFE"/>
    <w:rsid w:val="00E537B7"/>
    <w:rsid w:val="00E57F23"/>
    <w:rsid w:val="00E6693C"/>
    <w:rsid w:val="00E70EAE"/>
    <w:rsid w:val="00E71C1F"/>
    <w:rsid w:val="00E777BB"/>
    <w:rsid w:val="00EA3304"/>
    <w:rsid w:val="00EA3C5B"/>
    <w:rsid w:val="00EB09E7"/>
    <w:rsid w:val="00EB409F"/>
    <w:rsid w:val="00EC3684"/>
    <w:rsid w:val="00EE0714"/>
    <w:rsid w:val="00F00070"/>
    <w:rsid w:val="00F0237C"/>
    <w:rsid w:val="00F07132"/>
    <w:rsid w:val="00F13D16"/>
    <w:rsid w:val="00F15408"/>
    <w:rsid w:val="00F247EC"/>
    <w:rsid w:val="00F4433F"/>
    <w:rsid w:val="00F447D3"/>
    <w:rsid w:val="00F652A4"/>
    <w:rsid w:val="00F71C1A"/>
    <w:rsid w:val="00F8027C"/>
    <w:rsid w:val="00F87911"/>
    <w:rsid w:val="00F94C6C"/>
    <w:rsid w:val="00FA2841"/>
    <w:rsid w:val="00FD4752"/>
    <w:rsid w:val="00FD6D66"/>
    <w:rsid w:val="00FE63F6"/>
    <w:rsid w:val="00FE7161"/>
    <w:rsid w:val="00FF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63A51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B0F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5E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gPara">
    <w:name w:val="Reg Para"/>
    <w:basedOn w:val="Normal"/>
    <w:pPr>
      <w:tabs>
        <w:tab w:val="left" w:pos="1080"/>
      </w:tabs>
    </w:pPr>
  </w:style>
  <w:style w:type="paragraph" w:styleId="BodyText">
    <w:name w:val="Body Text"/>
    <w:basedOn w:val="Normal"/>
    <w:rPr>
      <w:rFonts w:ascii="Arial" w:hAnsi="Arial"/>
      <w:b/>
      <w:sz w:val="12"/>
    </w:rPr>
  </w:style>
  <w:style w:type="paragraph" w:styleId="FootnoteText">
    <w:name w:val="footnote text"/>
    <w:basedOn w:val="Normal"/>
    <w:semiHidden/>
    <w:rsid w:val="00BE4A76"/>
    <w:rPr>
      <w:szCs w:val="24"/>
    </w:rPr>
  </w:style>
  <w:style w:type="character" w:styleId="FootnoteReference">
    <w:name w:val="footnote reference"/>
    <w:basedOn w:val="DefaultParagraphFont"/>
    <w:semiHidden/>
    <w:rsid w:val="00BE4A76"/>
    <w:rPr>
      <w:vertAlign w:val="superscript"/>
    </w:rPr>
  </w:style>
  <w:style w:type="character" w:styleId="Hyperlink">
    <w:name w:val="Hyperlink"/>
    <w:basedOn w:val="DefaultParagraphFont"/>
    <w:rsid w:val="00BE4A76"/>
    <w:rPr>
      <w:color w:val="0000FF"/>
      <w:u w:val="single"/>
    </w:rPr>
  </w:style>
  <w:style w:type="character" w:styleId="FollowedHyperlink">
    <w:name w:val="FollowedHyperlink"/>
    <w:basedOn w:val="DefaultParagraphFont"/>
    <w:rsid w:val="00BE4A76"/>
    <w:rPr>
      <w:color w:val="800080"/>
      <w:u w:val="single"/>
    </w:rPr>
  </w:style>
  <w:style w:type="table" w:styleId="TableGrid">
    <w:name w:val="Table Grid"/>
    <w:basedOn w:val="TableNormal"/>
    <w:rsid w:val="00517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2D0040"/>
    <w:pPr>
      <w:spacing w:before="120" w:after="120"/>
    </w:pPr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E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B6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53F77"/>
    <w:rPr>
      <w:color w:val="808080"/>
    </w:rPr>
  </w:style>
  <w:style w:type="table" w:styleId="LightShading">
    <w:name w:val="Light Shading"/>
    <w:basedOn w:val="TableNormal"/>
    <w:uiPriority w:val="60"/>
    <w:rsid w:val="0090669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75EF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addmd">
    <w:name w:val="addmd"/>
    <w:basedOn w:val="DefaultParagraphFont"/>
    <w:rsid w:val="00C75E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B0F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5E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gPara">
    <w:name w:val="Reg Para"/>
    <w:basedOn w:val="Normal"/>
    <w:pPr>
      <w:tabs>
        <w:tab w:val="left" w:pos="1080"/>
      </w:tabs>
    </w:pPr>
  </w:style>
  <w:style w:type="paragraph" w:styleId="BodyText">
    <w:name w:val="Body Text"/>
    <w:basedOn w:val="Normal"/>
    <w:rPr>
      <w:rFonts w:ascii="Arial" w:hAnsi="Arial"/>
      <w:b/>
      <w:sz w:val="12"/>
    </w:rPr>
  </w:style>
  <w:style w:type="paragraph" w:styleId="FootnoteText">
    <w:name w:val="footnote text"/>
    <w:basedOn w:val="Normal"/>
    <w:semiHidden/>
    <w:rsid w:val="00BE4A76"/>
    <w:rPr>
      <w:szCs w:val="24"/>
    </w:rPr>
  </w:style>
  <w:style w:type="character" w:styleId="FootnoteReference">
    <w:name w:val="footnote reference"/>
    <w:basedOn w:val="DefaultParagraphFont"/>
    <w:semiHidden/>
    <w:rsid w:val="00BE4A76"/>
    <w:rPr>
      <w:vertAlign w:val="superscript"/>
    </w:rPr>
  </w:style>
  <w:style w:type="character" w:styleId="Hyperlink">
    <w:name w:val="Hyperlink"/>
    <w:basedOn w:val="DefaultParagraphFont"/>
    <w:rsid w:val="00BE4A76"/>
    <w:rPr>
      <w:color w:val="0000FF"/>
      <w:u w:val="single"/>
    </w:rPr>
  </w:style>
  <w:style w:type="character" w:styleId="FollowedHyperlink">
    <w:name w:val="FollowedHyperlink"/>
    <w:basedOn w:val="DefaultParagraphFont"/>
    <w:rsid w:val="00BE4A76"/>
    <w:rPr>
      <w:color w:val="800080"/>
      <w:u w:val="single"/>
    </w:rPr>
  </w:style>
  <w:style w:type="table" w:styleId="TableGrid">
    <w:name w:val="Table Grid"/>
    <w:basedOn w:val="TableNormal"/>
    <w:rsid w:val="00517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2D0040"/>
    <w:pPr>
      <w:spacing w:before="120" w:after="120"/>
    </w:pPr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E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B6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53F77"/>
    <w:rPr>
      <w:color w:val="808080"/>
    </w:rPr>
  </w:style>
  <w:style w:type="table" w:styleId="LightShading">
    <w:name w:val="Light Shading"/>
    <w:basedOn w:val="TableNormal"/>
    <w:uiPriority w:val="60"/>
    <w:rsid w:val="0090669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75EF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addmd">
    <w:name w:val="addmd"/>
    <w:basedOn w:val="DefaultParagraphFont"/>
    <w:rsid w:val="00C75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yperlink" Target="https://dcc.ligo.org/LIGO-P940008/public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cc.ligo.org/LIGO-T1400723" TargetMode="External"/><Relationship Id="rId4" Type="http://schemas.openxmlformats.org/officeDocument/2006/relationships/hyperlink" Target="https://alog.ligo-la.caltech.edu/aLOG/index.php?callRep=17834" TargetMode="External"/><Relationship Id="rId5" Type="http://schemas.openxmlformats.org/officeDocument/2006/relationships/hyperlink" Target="https://alog.ligo-la.caltech.edu/aLOG/index.php?callRep=17827" TargetMode="External"/><Relationship Id="rId6" Type="http://schemas.openxmlformats.org/officeDocument/2006/relationships/hyperlink" Target="https://alog.ligo-la.caltech.edu/aLOG/index.php?callRep=16971" TargetMode="External"/><Relationship Id="rId7" Type="http://schemas.openxmlformats.org/officeDocument/2006/relationships/hyperlink" Target="https://dcc.ligo.org/LIGO-D950031" TargetMode="External"/><Relationship Id="rId8" Type="http://schemas.openxmlformats.org/officeDocument/2006/relationships/hyperlink" Target="https://dcc.ligo.org/LIGO-P1400177" TargetMode="External"/><Relationship Id="rId9" Type="http://schemas.openxmlformats.org/officeDocument/2006/relationships/hyperlink" Target="https://dcc.ligo.org/LIGO-M890001" TargetMode="External"/><Relationship Id="rId10" Type="http://schemas.openxmlformats.org/officeDocument/2006/relationships/hyperlink" Target="https://dcc.ligo.org/LIGO-G950082" TargetMode="External"/><Relationship Id="rId11" Type="http://schemas.openxmlformats.org/officeDocument/2006/relationships/hyperlink" Target="https://dcc.ligo.org/LIGO-G1300116" TargetMode="External"/><Relationship Id="rId1" Type="http://schemas.openxmlformats.org/officeDocument/2006/relationships/hyperlink" Target="https://dcc.ligo.org/LIGO-M890001" TargetMode="External"/><Relationship Id="rId2" Type="http://schemas.openxmlformats.org/officeDocument/2006/relationships/hyperlink" Target="https://dcc.ligo.org/LIGO-T080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8B9BC9-D017-1F47-931E-A930EEC03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6</Pages>
  <Words>1428</Words>
  <Characters>8140</Characters>
  <Application>Microsoft Macintosh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Appendix: Radiometric and photometric quantities</vt:lpstr>
    </vt:vector>
  </TitlesOfParts>
  <Company>CALTECH</Company>
  <LinksUpToDate>false</LinksUpToDate>
  <CharactersWithSpaces>9549</CharactersWithSpaces>
  <SharedDoc>false</SharedDoc>
  <HLinks>
    <vt:vector size="72" baseType="variant">
      <vt:variant>
        <vt:i4>721014</vt:i4>
      </vt:variant>
      <vt:variant>
        <vt:i4>36</vt:i4>
      </vt:variant>
      <vt:variant>
        <vt:i4>0</vt:i4>
      </vt:variant>
      <vt:variant>
        <vt:i4>5</vt:i4>
      </vt:variant>
      <vt:variant>
        <vt:lpwstr>http://en.wikipedia.org/wiki/Photometry_(optics)</vt:lpwstr>
      </vt:variant>
      <vt:variant>
        <vt:lpwstr/>
      </vt:variant>
      <vt:variant>
        <vt:i4>5177410</vt:i4>
      </vt:variant>
      <vt:variant>
        <vt:i4>30</vt:i4>
      </vt:variant>
      <vt:variant>
        <vt:i4>0</vt:i4>
      </vt:variant>
      <vt:variant>
        <vt:i4>5</vt:i4>
      </vt:variant>
      <vt:variant>
        <vt:lpwstr>http://en.wikipedia.org/wiki/Lumen_(unit)</vt:lpwstr>
      </vt:variant>
      <vt:variant>
        <vt:lpwstr/>
      </vt:variant>
      <vt:variant>
        <vt:i4>3997699</vt:i4>
      </vt:variant>
      <vt:variant>
        <vt:i4>12</vt:i4>
      </vt:variant>
      <vt:variant>
        <vt:i4>0</vt:i4>
      </vt:variant>
      <vt:variant>
        <vt:i4>5</vt:i4>
      </vt:variant>
      <vt:variant>
        <vt:lpwstr>https://dcc.ligo.org/cgi-bin/private/DocDB/ShowDocument?docid=735</vt:lpwstr>
      </vt:variant>
      <vt:variant>
        <vt:lpwstr/>
      </vt:variant>
      <vt:variant>
        <vt:i4>3276858</vt:i4>
      </vt:variant>
      <vt:variant>
        <vt:i4>6</vt:i4>
      </vt:variant>
      <vt:variant>
        <vt:i4>0</vt:i4>
      </vt:variant>
      <vt:variant>
        <vt:i4>5</vt:i4>
      </vt:variant>
      <vt:variant>
        <vt:lpwstr>https://dcc.ligo.org/cgi-bin/private/DocDB/ShowDocument?docid=5882</vt:lpwstr>
      </vt:variant>
      <vt:variant>
        <vt:lpwstr/>
      </vt:variant>
      <vt:variant>
        <vt:i4>7667759</vt:i4>
      </vt:variant>
      <vt:variant>
        <vt:i4>18</vt:i4>
      </vt:variant>
      <vt:variant>
        <vt:i4>0</vt:i4>
      </vt:variant>
      <vt:variant>
        <vt:i4>5</vt:i4>
      </vt:variant>
      <vt:variant>
        <vt:lpwstr>http://www.cie.co.at/index.php/index.php?i_ca_id=298</vt:lpwstr>
      </vt:variant>
      <vt:variant>
        <vt:lpwstr/>
      </vt:variant>
      <vt:variant>
        <vt:i4>4325418</vt:i4>
      </vt:variant>
      <vt:variant>
        <vt:i4>15</vt:i4>
      </vt:variant>
      <vt:variant>
        <vt:i4>0</vt:i4>
      </vt:variant>
      <vt:variant>
        <vt:i4>5</vt:i4>
      </vt:variant>
      <vt:variant>
        <vt:lpwstr>http://www.arri.de/fileadmin/media/arri.com/downloads/Lighting/Tungsten_Lampheads/ARRI_Fresnel/ARRI_Junior_650/ARRI_Junior_BRO_E.pdf</vt:lpwstr>
      </vt:variant>
      <vt:variant>
        <vt:lpwstr/>
      </vt:variant>
      <vt:variant>
        <vt:i4>2490468</vt:i4>
      </vt:variant>
      <vt:variant>
        <vt:i4>12</vt:i4>
      </vt:variant>
      <vt:variant>
        <vt:i4>0</vt:i4>
      </vt:variant>
      <vt:variant>
        <vt:i4>5</vt:i4>
      </vt:variant>
      <vt:variant>
        <vt:lpwstr>http://doug.kerr.home.att.net/pumpkin/SOS_REI.pdf</vt:lpwstr>
      </vt:variant>
      <vt:variant>
        <vt:lpwstr/>
      </vt:variant>
      <vt:variant>
        <vt:i4>4915276</vt:i4>
      </vt:variant>
      <vt:variant>
        <vt:i4>9</vt:i4>
      </vt:variant>
      <vt:variant>
        <vt:i4>0</vt:i4>
      </vt:variant>
      <vt:variant>
        <vt:i4>5</vt:i4>
      </vt:variant>
      <vt:variant>
        <vt:lpwstr>http://www.largeformatphotography.info/articles/conrad-meter-cal.pdf</vt:lpwstr>
      </vt:variant>
      <vt:variant>
        <vt:lpwstr/>
      </vt:variant>
      <vt:variant>
        <vt:i4>7209067</vt:i4>
      </vt:variant>
      <vt:variant>
        <vt:i4>6</vt:i4>
      </vt:variant>
      <vt:variant>
        <vt:i4>0</vt:i4>
      </vt:variant>
      <vt:variant>
        <vt:i4>5</vt:i4>
      </vt:variant>
      <vt:variant>
        <vt:lpwstr>http://www.uni-muenster.de/imperia/md/content/ziv/multimedia/downloads/kodak___noise_sources.pdf</vt:lpwstr>
      </vt:variant>
      <vt:variant>
        <vt:lpwstr/>
      </vt:variant>
      <vt:variant>
        <vt:i4>1179765</vt:i4>
      </vt:variant>
      <vt:variant>
        <vt:i4>3</vt:i4>
      </vt:variant>
      <vt:variant>
        <vt:i4>0</vt:i4>
      </vt:variant>
      <vt:variant>
        <vt:i4>5</vt:i4>
      </vt:variant>
      <vt:variant>
        <vt:lpwstr>http://www.kodak.com/global/plugins/acrobat/en/business/ISS/supportdocs/ISOMeasurements.pdf</vt:lpwstr>
      </vt:variant>
      <vt:variant>
        <vt:lpwstr/>
      </vt:variant>
      <vt:variant>
        <vt:i4>3801140</vt:i4>
      </vt:variant>
      <vt:variant>
        <vt:i4>0</vt:i4>
      </vt:variant>
      <vt:variant>
        <vt:i4>0</vt:i4>
      </vt:variant>
      <vt:variant>
        <vt:i4>5</vt:i4>
      </vt:variant>
      <vt:variant>
        <vt:lpwstr>https://dcc.ligo.org/cgi-bin/private/DocDB/ShowDocument?docid=7226</vt:lpwstr>
      </vt:variant>
      <vt:variant>
        <vt:lpwstr/>
      </vt:variant>
      <vt:variant>
        <vt:i4>5505037</vt:i4>
      </vt:variant>
      <vt:variant>
        <vt:i4>13470</vt:i4>
      </vt:variant>
      <vt:variant>
        <vt:i4>1026</vt:i4>
      </vt:variant>
      <vt:variant>
        <vt:i4>1</vt:i4>
      </vt:variant>
      <vt:variant>
        <vt:lpwstr>Ligo_Logo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TORRES, LIGO PROJECT</dc:creator>
  <cp:keywords/>
  <cp:lastModifiedBy>Michael Zucker</cp:lastModifiedBy>
  <cp:revision>16</cp:revision>
  <cp:lastPrinted>2015-04-29T02:35:00Z</cp:lastPrinted>
  <dcterms:created xsi:type="dcterms:W3CDTF">2015-04-28T16:05:00Z</dcterms:created>
  <dcterms:modified xsi:type="dcterms:W3CDTF">2015-04-29T02:35:00Z</dcterms:modified>
</cp:coreProperties>
</file>