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C7EC7" w:rsidRPr="00DC7EC7">
        <w:t>T1600595</w:t>
      </w:r>
      <w:r w:rsidR="00B25764">
        <w:t>-v2</w:t>
      </w:r>
      <w:r w:rsidR="005F48B2">
        <w:tab/>
      </w:r>
      <w:r w:rsidR="00E454E9">
        <w:t>Advanced LIGO</w:t>
      </w:r>
      <w:r w:rsidR="005F48B2">
        <w:tab/>
      </w:r>
      <w:r w:rsidR="00B25764">
        <w:t>1/5</w:t>
      </w:r>
      <w:r w:rsidR="00A857F5">
        <w:t>/2017</w:t>
      </w:r>
    </w:p>
    <w:p w:rsidR="005F48B2" w:rsidRDefault="00CC6965">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A3829">
      <w:pPr>
        <w:pStyle w:val="BodyText"/>
        <w:pBdr>
          <w:top w:val="threeDEmboss" w:sz="24" w:space="1" w:color="auto"/>
          <w:left w:val="threeDEmboss" w:sz="24" w:space="4" w:color="auto"/>
          <w:bottom w:val="threeDEmboss" w:sz="24" w:space="1" w:color="auto"/>
          <w:right w:val="threeDEmboss" w:sz="24" w:space="4" w:color="auto"/>
        </w:pBdr>
      </w:pPr>
      <w:r>
        <w:t xml:space="preserve">Jitter Attenuation Cavity </w:t>
      </w:r>
      <w:r w:rsidR="002B735C">
        <w:t xml:space="preserve">(JAC) </w:t>
      </w:r>
      <w:r>
        <w:t>Design</w:t>
      </w:r>
    </w:p>
    <w:p w:rsidR="005F48B2" w:rsidRDefault="00CC6965">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E70739">
      <w:pPr>
        <w:pBdr>
          <w:top w:val="threeDEmboss" w:sz="24" w:space="1" w:color="auto"/>
          <w:left w:val="threeDEmboss" w:sz="24" w:space="4" w:color="auto"/>
          <w:bottom w:val="threeDEmboss" w:sz="24" w:space="1" w:color="auto"/>
          <w:right w:val="threeDEmboss" w:sz="24" w:space="4" w:color="auto"/>
        </w:pBdr>
        <w:jc w:val="center"/>
      </w:pPr>
      <w:r>
        <w:t>Daniel Sigg</w:t>
      </w:r>
      <w:r w:rsidR="00073421">
        <w:t>, etc.</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792"/>
        <w:gridCol w:w="4798"/>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A67823">
      <w:r>
        <w:t>This document describes the design considerations for a Jitter Attenuation Cavity (JAC) that will be needed to meet the Advanced LIGO requirements for pointing stability.</w:t>
      </w:r>
    </w:p>
    <w:p w:rsidR="005F48B2" w:rsidRDefault="00670A93">
      <w:pPr>
        <w:pStyle w:val="Heading1"/>
      </w:pPr>
      <w:r>
        <w:t>Requirement</w:t>
      </w:r>
      <w:r w:rsidR="00212331">
        <w:t>s</w:t>
      </w:r>
    </w:p>
    <w:p w:rsidR="00212331" w:rsidRPr="00212331" w:rsidRDefault="00212331" w:rsidP="00212331">
      <w:pPr>
        <w:pStyle w:val="Heading2"/>
      </w:pPr>
      <w:r>
        <w:t>Pointing</w:t>
      </w:r>
    </w:p>
    <w:p w:rsidR="005F48B2" w:rsidRDefault="00670A93">
      <w:r>
        <w:t xml:space="preserve">The Advanced LIGO pointing requirement is described in </w:t>
      </w:r>
      <w:hyperlink r:id="rId8" w:history="1">
        <w:r w:rsidRPr="00670A93">
          <w:rPr>
            <w:rStyle w:val="Hyperlink"/>
          </w:rPr>
          <w:t>T0900142</w:t>
        </w:r>
      </w:hyperlink>
      <w:r>
        <w:t xml:space="preserve">. The requirement for the arm misalignment was set to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rad rms which is rather stringent, especially at higher laser powers. We </w:t>
      </w:r>
      <w:r w:rsidR="003F15FE">
        <w:t xml:space="preserve">reduce this assumption by a factor of 3 and tighten the overall requirement by a factor of 2 to account for the planned improvements envisioned by the A+ upgrade. The jitter </w:t>
      </w:r>
      <w:r w:rsidR="00D16E6C">
        <w:t xml:space="preserve">out of the pre-stabilized laser (PSL) </w:t>
      </w:r>
      <w:r w:rsidR="003F15FE">
        <w:t>is about a factor 3-5 above the original requirement which leads to a requirement for additional pointing suppression of 20-30.</w:t>
      </w:r>
    </w:p>
    <w:p w:rsidR="007B1548" w:rsidRDefault="007B1548"/>
    <w:tbl>
      <w:tblPr>
        <w:tblStyle w:val="TableGrid"/>
        <w:tblW w:w="9625" w:type="dxa"/>
        <w:tblLayout w:type="fixed"/>
        <w:tblCellMar>
          <w:top w:w="29" w:type="dxa"/>
          <w:left w:w="115" w:type="dxa"/>
          <w:bottom w:w="29" w:type="dxa"/>
          <w:right w:w="115" w:type="dxa"/>
        </w:tblCellMar>
        <w:tblLook w:val="04A0" w:firstRow="1" w:lastRow="0" w:firstColumn="1" w:lastColumn="0" w:noHBand="0" w:noVBand="1"/>
      </w:tblPr>
      <w:tblGrid>
        <w:gridCol w:w="2695"/>
        <w:gridCol w:w="2925"/>
        <w:gridCol w:w="2925"/>
        <w:gridCol w:w="1080"/>
      </w:tblGrid>
      <w:tr w:rsidR="00883B81" w:rsidTr="005552C1">
        <w:tc>
          <w:tcPr>
            <w:tcW w:w="2695" w:type="dxa"/>
          </w:tcPr>
          <w:p w:rsidR="00883B81" w:rsidRPr="007B1548" w:rsidRDefault="00883B81" w:rsidP="007B1548">
            <w:pPr>
              <w:spacing w:before="0"/>
              <w:jc w:val="left"/>
              <w:rPr>
                <w:rFonts w:ascii="Arial" w:hAnsi="Arial"/>
                <w:b/>
                <w:bCs/>
              </w:rPr>
            </w:pPr>
            <w:r w:rsidRPr="007B1548">
              <w:rPr>
                <w:rFonts w:ascii="Arial" w:hAnsi="Arial"/>
                <w:b/>
                <w:bCs/>
              </w:rPr>
              <w:t>Quan</w:t>
            </w:r>
            <w:r w:rsidR="00F31668">
              <w:rPr>
                <w:rFonts w:ascii="Arial" w:hAnsi="Arial"/>
                <w:b/>
                <w:bCs/>
              </w:rPr>
              <w:t>t</w:t>
            </w:r>
            <w:r w:rsidRPr="007B1548">
              <w:rPr>
                <w:rFonts w:ascii="Arial" w:hAnsi="Arial"/>
                <w:b/>
                <w:bCs/>
              </w:rPr>
              <w:t>ity</w:t>
            </w:r>
          </w:p>
        </w:tc>
        <w:tc>
          <w:tcPr>
            <w:tcW w:w="2925" w:type="dxa"/>
          </w:tcPr>
          <w:p w:rsidR="00883B81" w:rsidRPr="007B1548" w:rsidRDefault="00883B81" w:rsidP="007B1548">
            <w:pPr>
              <w:spacing w:before="0"/>
              <w:jc w:val="right"/>
              <w:rPr>
                <w:rFonts w:ascii="Arial" w:hAnsi="Arial"/>
                <w:b/>
                <w:bCs/>
              </w:rPr>
            </w:pPr>
            <w:r w:rsidRPr="007B1548">
              <w:rPr>
                <w:rFonts w:ascii="Arial" w:hAnsi="Arial"/>
                <w:b/>
                <w:bCs/>
              </w:rPr>
              <w:t>New</w:t>
            </w:r>
          </w:p>
        </w:tc>
        <w:tc>
          <w:tcPr>
            <w:tcW w:w="2925" w:type="dxa"/>
          </w:tcPr>
          <w:p w:rsidR="00883B81" w:rsidRPr="007B1548" w:rsidRDefault="00883B81" w:rsidP="007B1548">
            <w:pPr>
              <w:spacing w:before="0"/>
              <w:jc w:val="right"/>
              <w:rPr>
                <w:rFonts w:ascii="Arial" w:hAnsi="Arial"/>
                <w:b/>
                <w:bCs/>
              </w:rPr>
            </w:pPr>
            <w:r w:rsidRPr="007B1548">
              <w:rPr>
                <w:rFonts w:ascii="Arial" w:hAnsi="Arial"/>
                <w:b/>
                <w:bCs/>
              </w:rPr>
              <w:t>Old</w:t>
            </w:r>
          </w:p>
        </w:tc>
        <w:tc>
          <w:tcPr>
            <w:tcW w:w="1080" w:type="dxa"/>
          </w:tcPr>
          <w:p w:rsidR="00883B81" w:rsidRPr="007B1548" w:rsidRDefault="00883B81" w:rsidP="007B1548">
            <w:pPr>
              <w:spacing w:before="0"/>
              <w:jc w:val="right"/>
              <w:rPr>
                <w:rFonts w:ascii="Arial" w:hAnsi="Arial"/>
                <w:b/>
                <w:bCs/>
              </w:rPr>
            </w:pPr>
            <w:r>
              <w:rPr>
                <w:rFonts w:ascii="Arial" w:hAnsi="Arial"/>
                <w:b/>
                <w:bCs/>
              </w:rPr>
              <w:t>Unit</w:t>
            </w:r>
          </w:p>
        </w:tc>
      </w:tr>
      <w:tr w:rsidR="00883B81" w:rsidTr="005552C1">
        <w:tc>
          <w:tcPr>
            <w:tcW w:w="2695" w:type="dxa"/>
            <w:vAlign w:val="center"/>
          </w:tcPr>
          <w:p w:rsidR="00883B81" w:rsidRDefault="00883B81" w:rsidP="00894DEB">
            <w:pPr>
              <w:spacing w:before="0"/>
              <w:jc w:val="left"/>
            </w:pPr>
            <w:r>
              <w:t xml:space="preserve">Assumption on differential </w:t>
            </w:r>
            <w:r w:rsidR="008C6DC9">
              <w:t xml:space="preserve">arm </w:t>
            </w:r>
            <w:r w:rsidR="002B5553">
              <w:t xml:space="preserve">cavity </w:t>
            </w:r>
            <w:r>
              <w:t>alignment</w:t>
            </w:r>
          </w:p>
        </w:tc>
        <w:tc>
          <w:tcPr>
            <w:tcW w:w="2925" w:type="dxa"/>
            <w:vAlign w:val="center"/>
          </w:tcPr>
          <w:p w:rsidR="00883B81" w:rsidRPr="00C75081" w:rsidRDefault="00883B81" w:rsidP="00894DEB">
            <w:pPr>
              <w:spacing w:before="0"/>
              <w:jc w:val="right"/>
              <w:rPr>
                <w:vertAlign w:val="superscript"/>
              </w:rPr>
            </w:pPr>
            <w:r>
              <w:t>&lt; 3×10</w:t>
            </w:r>
            <w:r>
              <w:rPr>
                <w:vertAlign w:val="superscript"/>
              </w:rPr>
              <w:t>–9</w:t>
            </w:r>
          </w:p>
        </w:tc>
        <w:tc>
          <w:tcPr>
            <w:tcW w:w="2925" w:type="dxa"/>
            <w:vAlign w:val="center"/>
          </w:tcPr>
          <w:p w:rsidR="00883B81" w:rsidRDefault="00883B81" w:rsidP="00894DEB">
            <w:pPr>
              <w:spacing w:before="0"/>
              <w:jc w:val="right"/>
            </w:pPr>
            <w:r>
              <w:t>&lt; 10</w:t>
            </w:r>
            <w:r>
              <w:rPr>
                <w:vertAlign w:val="superscript"/>
              </w:rPr>
              <w:t>–9</w:t>
            </w:r>
          </w:p>
        </w:tc>
        <w:tc>
          <w:tcPr>
            <w:tcW w:w="1080" w:type="dxa"/>
            <w:vAlign w:val="center"/>
          </w:tcPr>
          <w:p w:rsidR="00883B81" w:rsidRDefault="003448D0" w:rsidP="003448D0">
            <w:pPr>
              <w:spacing w:before="0"/>
              <w:jc w:val="right"/>
            </w:pPr>
            <w:r>
              <w:t xml:space="preserve">rad </w:t>
            </w:r>
            <w:proofErr w:type="spellStart"/>
            <w:r>
              <w:t>rms</w:t>
            </w:r>
            <w:proofErr w:type="spellEnd"/>
          </w:p>
        </w:tc>
      </w:tr>
      <w:tr w:rsidR="00883B81" w:rsidTr="005552C1">
        <w:tc>
          <w:tcPr>
            <w:tcW w:w="2695" w:type="dxa"/>
            <w:vAlign w:val="center"/>
          </w:tcPr>
          <w:p w:rsidR="00883B81" w:rsidRDefault="00883B81" w:rsidP="00894DEB">
            <w:pPr>
              <w:spacing w:before="0"/>
              <w:jc w:val="left"/>
            </w:pPr>
            <w:r>
              <w:t>Target sensitivity envelope</w:t>
            </w:r>
          </w:p>
          <w:p w:rsidR="00883B81" w:rsidRDefault="00883B81" w:rsidP="00894DEB">
            <w:pPr>
              <w:spacing w:before="0"/>
              <w:jc w:val="left"/>
            </w:pPr>
            <w:r>
              <w:t xml:space="preserve">Ref: </w:t>
            </w:r>
            <w:hyperlink r:id="rId9" w:history="1">
              <w:r w:rsidRPr="00C3700B">
                <w:rPr>
                  <w:rStyle w:val="Hyperlink"/>
                </w:rPr>
                <w:t>P1400164</w:t>
              </w:r>
            </w:hyperlink>
          </w:p>
        </w:tc>
        <w:tc>
          <w:tcPr>
            <w:tcW w:w="2925" w:type="dxa"/>
            <w:vAlign w:val="center"/>
          </w:tcPr>
          <w:p w:rsidR="00883B81" w:rsidRDefault="00883B81" w:rsidP="00894DEB">
            <w:pPr>
              <w:spacing w:before="0"/>
              <w:jc w:val="right"/>
            </w:pPr>
            <m:oMathPara>
              <m:oMath>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40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883B81" w:rsidRDefault="00883B81" w:rsidP="00894DEB">
            <w:pPr>
              <w:spacing w:before="0"/>
              <w:jc w:val="right"/>
            </w:pPr>
            <m:oMathPara>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-24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40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883B81" w:rsidRDefault="003448D0" w:rsidP="003448D0">
            <w:pPr>
              <w:spacing w:before="0"/>
              <w:jc w:val="right"/>
            </w:pPr>
            <w:r>
              <w:t>1/√Hz</w:t>
            </w:r>
          </w:p>
        </w:tc>
      </w:tr>
      <w:tr w:rsidR="00124BAA" w:rsidTr="005552C1">
        <w:tc>
          <w:tcPr>
            <w:tcW w:w="2695" w:type="dxa"/>
            <w:vAlign w:val="center"/>
          </w:tcPr>
          <w:p w:rsidR="00124BAA" w:rsidRDefault="00124BAA" w:rsidP="00124BAA">
            <w:pPr>
              <w:spacing w:before="0"/>
              <w:jc w:val="left"/>
            </w:pPr>
            <w:r>
              <w:t xml:space="preserve">Jitter requirement at </w:t>
            </w:r>
            <w:r w:rsidR="00F10E52">
              <w:t xml:space="preserve">input of </w:t>
            </w:r>
            <w:r w:rsidR="00D80F7E">
              <w:br/>
            </w:r>
            <w:r w:rsidR="00F10E52">
              <w:t>interferometer</w:t>
            </w:r>
          </w:p>
        </w:tc>
        <w:tc>
          <w:tcPr>
            <w:tcW w:w="2925" w:type="dxa"/>
            <w:vAlign w:val="center"/>
          </w:tcPr>
          <w:p w:rsidR="00124BAA" w:rsidRDefault="00124BAA" w:rsidP="00124BAA">
            <w:pPr>
              <w:spacing w:before="0"/>
              <w:jc w:val="right"/>
            </w:pPr>
            <m:oMathPara>
              <m:oMath>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-9</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124BAA" w:rsidRDefault="00124BAA" w:rsidP="00124BAA">
            <w:pPr>
              <w:spacing w:before="0"/>
              <w:jc w:val="right"/>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-8</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124BAA" w:rsidRDefault="00124BAA" w:rsidP="00124BAA">
            <w:pPr>
              <w:spacing w:before="0"/>
              <w:jc w:val="right"/>
            </w:pPr>
            <w:r>
              <w:t>1/√Hz</w:t>
            </w:r>
          </w:p>
        </w:tc>
      </w:tr>
      <w:tr w:rsidR="005552C1" w:rsidTr="005552C1">
        <w:trPr>
          <w:trHeight w:val="761"/>
        </w:trPr>
        <w:tc>
          <w:tcPr>
            <w:tcW w:w="2695" w:type="dxa"/>
            <w:vMerge w:val="restart"/>
            <w:vAlign w:val="center"/>
          </w:tcPr>
          <w:p w:rsidR="005552C1" w:rsidRDefault="005552C1" w:rsidP="00C558C8">
            <w:pPr>
              <w:spacing w:before="0"/>
              <w:jc w:val="left"/>
            </w:pPr>
            <w:r>
              <w:t>Jitter requirement at input</w:t>
            </w:r>
            <w:r w:rsidR="00EA43DD">
              <w:t xml:space="preserve"> </w:t>
            </w:r>
            <w:r>
              <w:t xml:space="preserve">of </w:t>
            </w:r>
            <w:r w:rsidR="00956773">
              <w:br/>
              <w:t xml:space="preserve">input </w:t>
            </w:r>
            <w:r>
              <w:t>mode cleaner</w:t>
            </w:r>
            <w:r w:rsidR="00154B5F">
              <w:t xml:space="preserve"> (IMC)</w:t>
            </w:r>
          </w:p>
        </w:tc>
        <w:tc>
          <w:tcPr>
            <w:tcW w:w="2925" w:type="dxa"/>
            <w:vAlign w:val="center"/>
          </w:tcPr>
          <w:p w:rsidR="005552C1" w:rsidRDefault="005552C1" w:rsidP="00C558C8">
            <w:pPr>
              <w:spacing w:before="0"/>
              <w:jc w:val="right"/>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-7</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5552C1" w:rsidRDefault="005552C1" w:rsidP="00C558C8">
            <w:pPr>
              <w:spacing w:before="0"/>
              <w:jc w:val="right"/>
            </w:pPr>
            <m:oMathPara>
              <m:oMath>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-6</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5552C1" w:rsidRDefault="005552C1" w:rsidP="00C558C8">
            <w:pPr>
              <w:spacing w:before="0"/>
              <w:jc w:val="right"/>
            </w:pPr>
            <w:r>
              <w:t>1/√Hz</w:t>
            </w:r>
          </w:p>
        </w:tc>
      </w:tr>
      <w:tr w:rsidR="00974D4B" w:rsidTr="005552C1">
        <w:trPr>
          <w:trHeight w:val="760"/>
        </w:trPr>
        <w:tc>
          <w:tcPr>
            <w:tcW w:w="2695" w:type="dxa"/>
            <w:vMerge/>
            <w:vAlign w:val="center"/>
          </w:tcPr>
          <w:p w:rsidR="00974D4B" w:rsidRDefault="00974D4B" w:rsidP="00974D4B">
            <w:pPr>
              <w:spacing w:before="0"/>
              <w:jc w:val="left"/>
            </w:pPr>
          </w:p>
        </w:tc>
        <w:tc>
          <w:tcPr>
            <w:tcW w:w="2925" w:type="dxa"/>
            <w:vAlign w:val="center"/>
          </w:tcPr>
          <w:p w:rsidR="00974D4B" w:rsidRDefault="008F2075" w:rsidP="00974D4B">
            <w:pPr>
              <w:spacing w:before="0"/>
              <w:jc w:val="right"/>
            </w:pPr>
            <m:oMathPara>
              <m:oMath>
                <m:r>
                  <w:rPr>
                    <w:rFonts w:ascii="Cambria Math" w:hAnsi="Cambria Math"/>
                  </w:rPr>
                  <m:t>7×</m:t>
                </m:r>
                <m:sSup>
                  <m:sSupPr>
                    <m:ctrlPr>
                      <w:rPr>
                        <w:rFonts w:ascii="Cambria Math" w:hAnsi="Cambria Math"/>
                        <w:i/>
                      </w:rPr>
                    </m:ctrlPr>
                  </m:sSupPr>
                  <m:e>
                    <m:r>
                      <w:rPr>
                        <w:rFonts w:ascii="Cambria Math" w:hAnsi="Cambria Math"/>
                      </w:rPr>
                      <m:t>10</m:t>
                    </m:r>
                  </m:e>
                  <m:sup>
                    <m:r>
                      <w:rPr>
                        <w:rFonts w:ascii="Cambria Math" w:hAnsi="Cambria Math"/>
                      </w:rPr>
                      <m:t>-11</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974D4B" w:rsidRDefault="008E22B3" w:rsidP="00974D4B">
            <w:pPr>
              <w:spacing w:before="0"/>
              <w:jc w:val="right"/>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-10</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974D4B" w:rsidRDefault="00974D4B" w:rsidP="00974D4B">
            <w:pPr>
              <w:spacing w:before="0"/>
              <w:jc w:val="right"/>
            </w:pPr>
            <w:r>
              <w:t>rad/√Hz</w:t>
            </w:r>
          </w:p>
        </w:tc>
      </w:tr>
      <w:tr w:rsidR="00974D4B" w:rsidTr="005552C1">
        <w:tc>
          <w:tcPr>
            <w:tcW w:w="2695" w:type="dxa"/>
            <w:vAlign w:val="center"/>
          </w:tcPr>
          <w:p w:rsidR="00974D4B" w:rsidRDefault="00974D4B" w:rsidP="00974D4B">
            <w:pPr>
              <w:spacing w:before="0"/>
              <w:jc w:val="left"/>
            </w:pPr>
            <w:r>
              <w:t xml:space="preserve">Jitter requirement at input of </w:t>
            </w:r>
            <w:r>
              <w:br/>
              <w:t>jitter attenuation cavity</w:t>
            </w:r>
          </w:p>
        </w:tc>
        <w:tc>
          <w:tcPr>
            <w:tcW w:w="2925" w:type="dxa"/>
            <w:vAlign w:val="center"/>
          </w:tcPr>
          <w:p w:rsidR="00974D4B" w:rsidRDefault="00974D4B" w:rsidP="00974D4B">
            <w:pPr>
              <w:spacing w:before="0"/>
              <w:jc w:val="right"/>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-5</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974D4B" w:rsidRDefault="00F422E5" w:rsidP="00974D4B">
            <w:pPr>
              <w:spacing w:before="0"/>
              <w:jc w:val="right"/>
            </w:pPr>
            <w:r>
              <w:t>Same as above</w:t>
            </w:r>
          </w:p>
        </w:tc>
        <w:tc>
          <w:tcPr>
            <w:tcW w:w="1080" w:type="dxa"/>
            <w:vAlign w:val="center"/>
          </w:tcPr>
          <w:p w:rsidR="00974D4B" w:rsidRDefault="00974D4B" w:rsidP="00974D4B">
            <w:pPr>
              <w:spacing w:before="0"/>
              <w:jc w:val="right"/>
            </w:pPr>
            <w:r>
              <w:t>1/√Hz</w:t>
            </w:r>
          </w:p>
        </w:tc>
      </w:tr>
      <w:tr w:rsidR="00974D4B" w:rsidTr="005552C1">
        <w:tc>
          <w:tcPr>
            <w:tcW w:w="2695" w:type="dxa"/>
            <w:vAlign w:val="center"/>
          </w:tcPr>
          <w:p w:rsidR="00974D4B" w:rsidRDefault="00974D4B" w:rsidP="00974D4B">
            <w:pPr>
              <w:spacing w:before="0"/>
              <w:jc w:val="left"/>
            </w:pPr>
            <w:r>
              <w:t xml:space="preserve">Jitter requirement at input of </w:t>
            </w:r>
            <w:r>
              <w:br/>
              <w:t>pre-mode cleaner</w:t>
            </w:r>
          </w:p>
        </w:tc>
        <w:tc>
          <w:tcPr>
            <w:tcW w:w="2925" w:type="dxa"/>
            <w:vAlign w:val="center"/>
          </w:tcPr>
          <w:p w:rsidR="00974D4B" w:rsidRDefault="00974D4B" w:rsidP="00974D4B">
            <w:pPr>
              <w:spacing w:before="0"/>
              <w:jc w:val="right"/>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2925" w:type="dxa"/>
            <w:vAlign w:val="center"/>
          </w:tcPr>
          <w:p w:rsidR="00974D4B" w:rsidRDefault="00974D4B" w:rsidP="00974D4B">
            <w:pPr>
              <w:spacing w:before="0"/>
              <w:jc w:val="right"/>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974D4B" w:rsidRDefault="00974D4B" w:rsidP="00974D4B">
            <w:pPr>
              <w:spacing w:before="0"/>
              <w:jc w:val="right"/>
            </w:pPr>
            <w:r>
              <w:t>1/√Hz</w:t>
            </w:r>
          </w:p>
        </w:tc>
      </w:tr>
      <w:tr w:rsidR="00974D4B" w:rsidTr="00EA43DD">
        <w:tc>
          <w:tcPr>
            <w:tcW w:w="9625" w:type="dxa"/>
            <w:gridSpan w:val="4"/>
            <w:vAlign w:val="center"/>
          </w:tcPr>
          <w:p w:rsidR="00974D4B" w:rsidRDefault="00974D4B" w:rsidP="00974D4B">
            <w:pPr>
              <w:spacing w:before="0"/>
              <w:jc w:val="left"/>
            </w:pPr>
            <w:r>
              <w:t>With the following assumptions:</w:t>
            </w:r>
          </w:p>
          <w:p w:rsidR="00974D4B" w:rsidRDefault="00974D4B" w:rsidP="00974D4B">
            <w:pPr>
              <w:pStyle w:val="ListParagraph"/>
              <w:numPr>
                <w:ilvl w:val="0"/>
                <w:numId w:val="30"/>
              </w:numPr>
              <w:spacing w:before="0"/>
              <w:ind w:left="360"/>
              <w:jc w:val="left"/>
            </w:pPr>
            <w:r>
              <w:t>Dimensionless jitter requirements are given in units of beam divergence angle or spot size.</w:t>
            </w:r>
          </w:p>
          <w:p w:rsidR="00974D4B" w:rsidRDefault="00974D4B" w:rsidP="00313073">
            <w:pPr>
              <w:pStyle w:val="ListParagraph"/>
              <w:numPr>
                <w:ilvl w:val="0"/>
                <w:numId w:val="30"/>
              </w:numPr>
              <w:spacing w:before="0"/>
              <w:ind w:left="360"/>
              <w:jc w:val="left"/>
            </w:pPr>
            <w:r>
              <w:t>The jitter attenuation of the IMC is ~250, the waits size is 2.1 mm and the Rayleigh range is</w:t>
            </w:r>
            <w:r w:rsidR="00F45671">
              <w:t> </w:t>
            </w:r>
            <w:r>
              <w:t xml:space="preserve">13.3 m. This leads to a divergence angle of </w:t>
            </w:r>
            <w:r w:rsidR="00D4675A">
              <w:t>0.1</w:t>
            </w:r>
            <w:r>
              <w:t xml:space="preserve">6 </w:t>
            </w:r>
            <w:proofErr w:type="spellStart"/>
            <w:r>
              <w:t>mrad</w:t>
            </w:r>
            <w:proofErr w:type="spellEnd"/>
            <w:r>
              <w:t>.</w:t>
            </w:r>
            <w:r w:rsidR="00AE6831">
              <w:t xml:space="preserve"> Ref: </w:t>
            </w:r>
            <w:hyperlink r:id="rId10" w:history="1">
              <w:r w:rsidR="00AE6831" w:rsidRPr="00AE6831">
                <w:rPr>
                  <w:rStyle w:val="Hyperlink"/>
                </w:rPr>
                <w:t>T0900386</w:t>
              </w:r>
            </w:hyperlink>
            <w:r w:rsidR="00AE6831">
              <w:t>.</w:t>
            </w:r>
          </w:p>
          <w:p w:rsidR="00974D4B" w:rsidRDefault="00974D4B" w:rsidP="00974D4B">
            <w:pPr>
              <w:pStyle w:val="ListParagraph"/>
              <w:numPr>
                <w:ilvl w:val="0"/>
                <w:numId w:val="30"/>
              </w:numPr>
              <w:spacing w:before="0"/>
              <w:ind w:left="360"/>
              <w:jc w:val="left"/>
            </w:pPr>
            <w:r>
              <w:t>The jitter attenuation of the JAC is ~40</w:t>
            </w:r>
            <w:r w:rsidR="002B55BA">
              <w:t xml:space="preserve"> (see next section)</w:t>
            </w:r>
            <w:r>
              <w:t>.</w:t>
            </w:r>
          </w:p>
          <w:p w:rsidR="00974D4B" w:rsidRDefault="00974D4B" w:rsidP="00974D4B">
            <w:pPr>
              <w:pStyle w:val="ListParagraph"/>
              <w:numPr>
                <w:ilvl w:val="0"/>
                <w:numId w:val="30"/>
              </w:numPr>
              <w:spacing w:before="0"/>
              <w:ind w:left="360"/>
              <w:jc w:val="left"/>
            </w:pPr>
            <w:r>
              <w:t xml:space="preserve">The jitter attenuation of the pre-mode cleaner is ~60. </w:t>
            </w:r>
          </w:p>
        </w:tc>
      </w:tr>
    </w:tbl>
    <w:p w:rsidR="005F48B2" w:rsidRDefault="00212331">
      <w:pPr>
        <w:pStyle w:val="Heading2"/>
      </w:pPr>
      <w:r>
        <w:lastRenderedPageBreak/>
        <w:t>Higher Order Modes</w:t>
      </w:r>
    </w:p>
    <w:p w:rsidR="005F48B2" w:rsidRDefault="008E50C5">
      <w:r>
        <w:t>TBD.</w:t>
      </w:r>
    </w:p>
    <w:p w:rsidR="008E50C5" w:rsidRDefault="008E50C5">
      <w:r>
        <w:t xml:space="preserve">A quick estimate can be done as follows: During the 50 W commissioning test at H1 a broad noise hump was seen around 500 Hz, which in the worst case was about a factor of 3 above shot noise. If we attribute this noise to </w:t>
      </w:r>
      <w:r w:rsidR="00C66AB3">
        <w:t xml:space="preserve">second order </w:t>
      </w:r>
      <w:r>
        <w:t>higher order mode fluctuations, an additional suppression of</w:t>
      </w:r>
      <w:r w:rsidR="00C66AB3">
        <w:t xml:space="preserve"> second order higher order modes of about 60 </w:t>
      </w:r>
      <w:r w:rsidR="00AC4D9D">
        <w:t>would</w:t>
      </w:r>
      <w:r w:rsidR="00C66AB3">
        <w:t xml:space="preserve"> be required to meet the A+ requirement.</w:t>
      </w:r>
    </w:p>
    <w:p w:rsidR="001B402D" w:rsidRDefault="001B402D" w:rsidP="001B402D">
      <w:pPr>
        <w:pStyle w:val="Heading2"/>
      </w:pPr>
      <w:r>
        <w:t>Polarization</w:t>
      </w:r>
    </w:p>
    <w:p w:rsidR="001B402D" w:rsidRDefault="00647648" w:rsidP="001B402D">
      <w:r>
        <w:t>Four mirror cavities tend to have both polarization states resonating within the cavity bandwidth. The resonance separation for the Advanced LIGO PMC is approximately one 10</w:t>
      </w:r>
      <w:r w:rsidRPr="00647648">
        <w:rPr>
          <w:vertAlign w:val="superscript"/>
        </w:rPr>
        <w:t>th</w:t>
      </w:r>
      <w:r>
        <w:t xml:space="preserve"> of the cavity line width. A slightly off-resonance mode will introduce intensity noise couplings from both frequency noise and length fluctuations. </w:t>
      </w:r>
      <w:r w:rsidR="001B402D">
        <w:t xml:space="preserve">We </w:t>
      </w:r>
      <w:r>
        <w:t xml:space="preserve">therefore </w:t>
      </w:r>
      <w:r w:rsidR="001B402D">
        <w:t xml:space="preserve">require the new </w:t>
      </w:r>
      <w:r w:rsidR="00785590">
        <w:t xml:space="preserve">jitter attenuation </w:t>
      </w:r>
      <w:r w:rsidR="001B402D">
        <w:t>cavity to be an odd mirror configuration to separate the two polarization states.</w:t>
      </w:r>
    </w:p>
    <w:p w:rsidR="00A6651D" w:rsidRDefault="00A6651D" w:rsidP="00691DE3">
      <w:r>
        <w:t xml:space="preserve">The polarization of the input mode cleaner is vertical, whereas the </w:t>
      </w:r>
      <w:r w:rsidR="00984B26">
        <w:t>polarization of the Advanced LIGO PMC is horizontal. The current IO EOM also requires horizontal polarization.</w:t>
      </w:r>
      <w:r w:rsidR="00691DE3">
        <w:t xml:space="preserve"> </w:t>
      </w:r>
      <w:r w:rsidR="00691DE3">
        <w:t>Using the most standard material and design</w:t>
      </w:r>
      <w:r w:rsidR="00691DE3">
        <w:t xml:space="preserve"> for</w:t>
      </w:r>
      <w:r w:rsidR="001D4138">
        <w:t xml:space="preserve"> the</w:t>
      </w:r>
      <w:r w:rsidR="00691DE3">
        <w:t xml:space="preserve"> </w:t>
      </w:r>
      <w:r w:rsidR="001D4138">
        <w:t xml:space="preserve">JAC </w:t>
      </w:r>
      <w:r w:rsidR="00691DE3">
        <w:t>input mirrors and coatings</w:t>
      </w:r>
      <w:r w:rsidR="00691DE3">
        <w:t xml:space="preserve">, </w:t>
      </w:r>
      <w:r w:rsidR="00691DE3">
        <w:t>a</w:t>
      </w:r>
      <w:r w:rsidR="00691DE3">
        <w:t xml:space="preserve"> 2.48% transmission </w:t>
      </w:r>
      <w:r w:rsidR="00726ADA">
        <w:t>for s</w:t>
      </w:r>
      <w:r w:rsidR="00726ADA">
        <w:noBreakHyphen/>
      </w:r>
      <w:r w:rsidR="00691DE3">
        <w:t xml:space="preserve">polarization </w:t>
      </w:r>
      <w:r w:rsidR="00691DE3">
        <w:t xml:space="preserve">would give an estimated </w:t>
      </w:r>
      <w:r w:rsidR="00691DE3">
        <w:t>p</w:t>
      </w:r>
      <w:r w:rsidR="00726ADA">
        <w:noBreakHyphen/>
      </w:r>
      <w:r w:rsidR="00691DE3">
        <w:t>pol</w:t>
      </w:r>
      <w:r w:rsidR="00691DE3">
        <w:t>arizatio</w:t>
      </w:r>
      <w:bookmarkStart w:id="0" w:name="_GoBack"/>
      <w:bookmarkEnd w:id="0"/>
      <w:r w:rsidR="00691DE3">
        <w:t>n</w:t>
      </w:r>
      <w:r w:rsidR="00691DE3">
        <w:t xml:space="preserve"> transmission </w:t>
      </w:r>
      <w:r w:rsidR="00691DE3">
        <w:t xml:space="preserve">of </w:t>
      </w:r>
      <w:r w:rsidR="00691DE3">
        <w:t>about 9.4%. If it is designed for 2.48% transmission of p</w:t>
      </w:r>
      <w:r w:rsidR="00726ADA">
        <w:noBreakHyphen/>
      </w:r>
      <w:r w:rsidR="000618EA">
        <w:t>polarization</w:t>
      </w:r>
      <w:r w:rsidR="00691DE3">
        <w:t>, then the s</w:t>
      </w:r>
      <w:r w:rsidR="00726ADA">
        <w:noBreakHyphen/>
      </w:r>
      <w:r w:rsidR="000618EA">
        <w:t xml:space="preserve">polarization </w:t>
      </w:r>
      <w:r w:rsidR="00691DE3">
        <w:t>transmission would be 0.05%.</w:t>
      </w:r>
      <w:r w:rsidR="002C27C9">
        <w:t xml:space="preserve"> </w:t>
      </w:r>
      <w:r w:rsidR="00691DE3">
        <w:t>But it will depend significantly on the materials used, and somewhat on the details of the design as well.</w:t>
      </w:r>
      <w:r w:rsidR="00AC7498">
        <w:t xml:space="preserve"> To avoid high finesse modes in the wrong polarization, a design using s</w:t>
      </w:r>
      <w:r w:rsidR="006C266C">
        <w:noBreakHyphen/>
      </w:r>
      <w:r w:rsidR="00AC7498">
        <w:t>polarization</w:t>
      </w:r>
      <w:r w:rsidR="00AC7498">
        <w:t xml:space="preserve"> </w:t>
      </w:r>
      <w:r w:rsidR="00A21339">
        <w:t>would be</w:t>
      </w:r>
      <w:r w:rsidR="00AC7498">
        <w:t xml:space="preserve"> preferred.</w:t>
      </w:r>
      <w:r w:rsidR="00667C22">
        <w:t xml:space="preserve"> In turn</w:t>
      </w:r>
      <w:r w:rsidR="003460D3">
        <w:t>,</w:t>
      </w:r>
      <w:r w:rsidR="00667C22">
        <w:t xml:space="preserve"> this would require the</w:t>
      </w:r>
      <w:r w:rsidR="000B072C">
        <w:t xml:space="preserve"> EOM design to be flipped over by 90º</w:t>
      </w:r>
      <w:r w:rsidR="00032927">
        <w:t xml:space="preserve">. It would also require the polarization to be rotate by </w:t>
      </w:r>
      <w:r w:rsidR="00032927">
        <w:t>90º</w:t>
      </w:r>
      <w:r w:rsidR="00032927">
        <w:t xml:space="preserve"> between the JAC and the IMC.</w:t>
      </w:r>
    </w:p>
    <w:p w:rsidR="00785590" w:rsidRDefault="00D516E9" w:rsidP="00D516E9">
      <w:pPr>
        <w:pStyle w:val="Heading2"/>
      </w:pPr>
      <w:r>
        <w:t>RF Filtering</w:t>
      </w:r>
    </w:p>
    <w:p w:rsidR="0094294D" w:rsidRDefault="0094294D" w:rsidP="0094294D">
      <w:r>
        <w:t>The current PMC provides a factor of 15 filtering at the main modulation frequency of 9.1 </w:t>
      </w:r>
      <w:proofErr w:type="spellStart"/>
      <w:r>
        <w:t>MHz.</w:t>
      </w:r>
      <w:proofErr w:type="spellEnd"/>
      <w:r>
        <w:t xml:space="preserve"> We do not require that the new jitter attenuation cavity provides additional filtering. This allows the cavity length to be chosen arbitrarily. </w:t>
      </w:r>
    </w:p>
    <w:p w:rsidR="0094294D" w:rsidRDefault="0094294D" w:rsidP="0094294D">
      <w:r>
        <w:t xml:space="preserve">However, any filtering provided by jitter attenuation cavity could relax the requirement put on the PMC. One interesting idea would be to make both cavity of identical configuration. </w:t>
      </w:r>
      <w:r w:rsidR="001F4022">
        <w:t>This would mean that each cavity needs to provide a factor of 4 or more of RF filtering at 9.1 </w:t>
      </w:r>
      <w:proofErr w:type="spellStart"/>
      <w:r w:rsidR="001F4022">
        <w:t>MHz.</w:t>
      </w:r>
      <w:proofErr w:type="spellEnd"/>
      <w:r w:rsidR="001F4022">
        <w:t xml:space="preserve"> </w:t>
      </w:r>
      <w:r w:rsidR="000F30C6">
        <w:t xml:space="preserve">If the Finesse of the PMC is kept the same at 125, the minimum </w:t>
      </w:r>
      <w:r w:rsidR="009501E9">
        <w:t xml:space="preserve">round-trip </w:t>
      </w:r>
      <w:r w:rsidR="000F30C6">
        <w:t>length</w:t>
      </w:r>
      <w:r w:rsidR="00DB64B9">
        <w:t xml:space="preserve"> is then 0.5 m. </w:t>
      </w:r>
    </w:p>
    <w:p w:rsidR="005F48B2" w:rsidRDefault="00785590">
      <w:pPr>
        <w:pStyle w:val="Heading1"/>
      </w:pPr>
      <w:r>
        <w:t>Parameters</w:t>
      </w:r>
    </w:p>
    <w:p w:rsidR="00184B3D" w:rsidRPr="00184B3D" w:rsidRDefault="00184B3D" w:rsidP="00184B3D">
      <w:pPr>
        <w:pStyle w:val="Heading2"/>
      </w:pPr>
      <w:r>
        <w:t>Cavity Parameters</w:t>
      </w:r>
    </w:p>
    <w:p w:rsidR="00A47B7E" w:rsidRDefault="00A47B7E" w:rsidP="00B709E5">
      <w:pPr>
        <w:spacing w:after="120"/>
      </w:pPr>
      <w:r>
        <w:t xml:space="preserve">The initial LIGO PMC had a short triangular configuration with a relatively high finesse and a target Gouy phase separation of 55.3º. This gives good attenuation of higher order modes and filtering of laser noise at the RF modulation frequencies. For Advanced LIGO the finesse had to be lowered to </w:t>
      </w:r>
      <w:r w:rsidR="00A95193">
        <w:t>avoid very high internal</w:t>
      </w:r>
      <w:r>
        <w:t xml:space="preserve"> </w:t>
      </w:r>
      <w:r w:rsidR="00A95193">
        <w:t xml:space="preserve">power. To have sufficient filtering of RF laser noise, the cavity length had to increased. To stay compact a bow-tie configuration was employed. In turn this also increased the Gouy phase separation to 100º. Both Gouy phase solution are good in avoiding accidental resonances of higher order optical modes. For the jitter attenuation cavity, we want a triangular configuration and a power build-up like the Advanced LIGO PMC. A reasonable design can be achieved by using </w:t>
      </w:r>
      <w:r w:rsidR="00A95193">
        <w:lastRenderedPageBreak/>
        <w:t xml:space="preserve">the same curved mirror as the Advanced LIGO PMC, but other options exist with smaller mirror </w:t>
      </w:r>
      <w:r w:rsidR="00DC6085">
        <w:t>curvature</w:t>
      </w:r>
      <w:r w:rsidR="00A95193">
        <w:t>.</w:t>
      </w:r>
      <w:r>
        <w:t xml:space="preserve"> </w:t>
      </w:r>
    </w:p>
    <w:p w:rsidR="0083053F" w:rsidRPr="008D66E2" w:rsidRDefault="0083053F" w:rsidP="00B709E5">
      <w:pPr>
        <w:spacing w:after="120"/>
      </w:pPr>
      <w:r>
        <w:t xml:space="preserve">A set of </w:t>
      </w:r>
      <w:r w:rsidR="005829A5">
        <w:t xml:space="preserve">possible </w:t>
      </w:r>
      <w:r>
        <w:t>parameters for the jitter attenuation cavity are shown below:</w:t>
      </w:r>
    </w:p>
    <w:tbl>
      <w:tblPr>
        <w:tblStyle w:val="TableGrid"/>
        <w:tblW w:w="0" w:type="auto"/>
        <w:tblLook w:val="04A0" w:firstRow="1" w:lastRow="0" w:firstColumn="1" w:lastColumn="0" w:noHBand="0" w:noVBand="1"/>
      </w:tblPr>
      <w:tblGrid>
        <w:gridCol w:w="3974"/>
        <w:gridCol w:w="1029"/>
        <w:gridCol w:w="1032"/>
        <w:gridCol w:w="892"/>
        <w:gridCol w:w="892"/>
        <w:gridCol w:w="892"/>
        <w:gridCol w:w="869"/>
      </w:tblGrid>
      <w:tr w:rsidR="00DB64B9" w:rsidRPr="008D66E2" w:rsidTr="0084652F">
        <w:trPr>
          <w:trHeight w:val="396"/>
        </w:trPr>
        <w:tc>
          <w:tcPr>
            <w:tcW w:w="4068" w:type="dxa"/>
            <w:vAlign w:val="center"/>
          </w:tcPr>
          <w:p w:rsidR="00DB64B9" w:rsidRPr="008D66E2" w:rsidRDefault="00B97EE7" w:rsidP="00B97EE7">
            <w:pPr>
              <w:jc w:val="left"/>
              <w:rPr>
                <w:rFonts w:ascii="Arial" w:hAnsi="Arial" w:cs="Arial"/>
                <w:b/>
              </w:rPr>
            </w:pPr>
            <w:r w:rsidRPr="008D66E2">
              <w:rPr>
                <w:rFonts w:ascii="Arial" w:hAnsi="Arial" w:cs="Arial"/>
                <w:b/>
              </w:rPr>
              <w:t>Parameters</w:t>
            </w:r>
          </w:p>
        </w:tc>
        <w:tc>
          <w:tcPr>
            <w:tcW w:w="1035" w:type="dxa"/>
            <w:vAlign w:val="center"/>
          </w:tcPr>
          <w:p w:rsidR="00DB64B9" w:rsidRPr="008D66E2" w:rsidRDefault="00DB64B9" w:rsidP="00B97EE7">
            <w:pPr>
              <w:jc w:val="center"/>
              <w:rPr>
                <w:rFonts w:ascii="Arial" w:hAnsi="Arial" w:cs="Arial"/>
                <w:b/>
              </w:rPr>
            </w:pPr>
            <w:proofErr w:type="spellStart"/>
            <w:r w:rsidRPr="008D66E2">
              <w:rPr>
                <w:rFonts w:ascii="Arial" w:hAnsi="Arial" w:cs="Arial"/>
                <w:b/>
              </w:rPr>
              <w:t>iLIGO</w:t>
            </w:r>
            <w:proofErr w:type="spellEnd"/>
            <w:r w:rsidRPr="008D66E2">
              <w:rPr>
                <w:rFonts w:ascii="Arial" w:hAnsi="Arial" w:cs="Arial"/>
                <w:b/>
              </w:rPr>
              <w:t xml:space="preserve"> PMC</w:t>
            </w:r>
          </w:p>
        </w:tc>
        <w:tc>
          <w:tcPr>
            <w:tcW w:w="1035" w:type="dxa"/>
            <w:vAlign w:val="center"/>
          </w:tcPr>
          <w:p w:rsidR="00DB64B9" w:rsidRPr="008D66E2" w:rsidRDefault="00DB64B9" w:rsidP="00B97EE7">
            <w:pPr>
              <w:jc w:val="center"/>
              <w:rPr>
                <w:rFonts w:ascii="Arial" w:hAnsi="Arial" w:cs="Arial"/>
                <w:b/>
              </w:rPr>
            </w:pPr>
            <w:proofErr w:type="spellStart"/>
            <w:r w:rsidRPr="008D66E2">
              <w:rPr>
                <w:rFonts w:ascii="Arial" w:hAnsi="Arial" w:cs="Arial"/>
                <w:b/>
              </w:rPr>
              <w:t>aLIGO</w:t>
            </w:r>
            <w:proofErr w:type="spellEnd"/>
            <w:r w:rsidRPr="008D66E2">
              <w:rPr>
                <w:rFonts w:ascii="Arial" w:hAnsi="Arial" w:cs="Arial"/>
                <w:b/>
              </w:rPr>
              <w:t xml:space="preserve"> PMC</w:t>
            </w:r>
          </w:p>
        </w:tc>
        <w:tc>
          <w:tcPr>
            <w:tcW w:w="2700" w:type="dxa"/>
            <w:gridSpan w:val="3"/>
            <w:shd w:val="clear" w:color="auto" w:fill="FDE9D9" w:themeFill="accent6" w:themeFillTint="33"/>
            <w:vAlign w:val="center"/>
          </w:tcPr>
          <w:p w:rsidR="00DB64B9" w:rsidRPr="008D66E2" w:rsidRDefault="00DB64B9" w:rsidP="00B97EE7">
            <w:pPr>
              <w:jc w:val="center"/>
              <w:rPr>
                <w:rFonts w:ascii="Arial" w:hAnsi="Arial" w:cs="Arial"/>
                <w:b/>
              </w:rPr>
            </w:pPr>
            <w:r w:rsidRPr="008D66E2">
              <w:rPr>
                <w:rFonts w:ascii="Arial" w:hAnsi="Arial" w:cs="Arial"/>
                <w:b/>
              </w:rPr>
              <w:t>JAC</w:t>
            </w:r>
          </w:p>
        </w:tc>
        <w:tc>
          <w:tcPr>
            <w:tcW w:w="871" w:type="dxa"/>
            <w:vAlign w:val="center"/>
          </w:tcPr>
          <w:p w:rsidR="00DB64B9" w:rsidRPr="008D66E2" w:rsidRDefault="00DB64B9" w:rsidP="00B97EE7">
            <w:pPr>
              <w:jc w:val="center"/>
              <w:rPr>
                <w:rFonts w:ascii="Arial" w:hAnsi="Arial" w:cs="Arial"/>
                <w:b/>
              </w:rPr>
            </w:pPr>
            <w:r w:rsidRPr="008D66E2">
              <w:rPr>
                <w:rFonts w:ascii="Arial" w:hAnsi="Arial" w:cs="Arial"/>
                <w:b/>
              </w:rPr>
              <w:t>Units</w:t>
            </w:r>
          </w:p>
        </w:tc>
      </w:tr>
      <w:tr w:rsidR="00D14AF0" w:rsidRPr="008D66E2" w:rsidTr="0084652F">
        <w:trPr>
          <w:trHeight w:val="396"/>
        </w:trPr>
        <w:tc>
          <w:tcPr>
            <w:tcW w:w="4068" w:type="dxa"/>
          </w:tcPr>
          <w:p w:rsidR="00D14AF0" w:rsidRPr="008D66E2" w:rsidRDefault="00D14AF0">
            <w:pPr>
              <w:rPr>
                <w:rFonts w:ascii="Arial" w:hAnsi="Arial" w:cs="Arial"/>
              </w:rPr>
            </w:pPr>
            <w:r>
              <w:rPr>
                <w:rFonts w:ascii="Arial" w:hAnsi="Arial" w:cs="Arial"/>
              </w:rPr>
              <w:t>Mirrors</w:t>
            </w:r>
          </w:p>
        </w:tc>
        <w:tc>
          <w:tcPr>
            <w:tcW w:w="1035" w:type="dxa"/>
            <w:vAlign w:val="center"/>
          </w:tcPr>
          <w:p w:rsidR="00D14AF0" w:rsidRPr="008D66E2" w:rsidRDefault="00D14AF0" w:rsidP="00B97EE7">
            <w:pPr>
              <w:jc w:val="right"/>
              <w:rPr>
                <w:rFonts w:ascii="Arial" w:hAnsi="Arial" w:cs="Arial"/>
              </w:rPr>
            </w:pPr>
            <w:r>
              <w:rPr>
                <w:rFonts w:ascii="Arial" w:hAnsi="Arial" w:cs="Arial"/>
              </w:rPr>
              <w:t>3</w:t>
            </w:r>
          </w:p>
        </w:tc>
        <w:tc>
          <w:tcPr>
            <w:tcW w:w="1035" w:type="dxa"/>
            <w:vAlign w:val="center"/>
          </w:tcPr>
          <w:p w:rsidR="00D14AF0" w:rsidRPr="008D66E2" w:rsidRDefault="00D14AF0" w:rsidP="00B97EE7">
            <w:pPr>
              <w:jc w:val="right"/>
              <w:rPr>
                <w:rFonts w:ascii="Arial" w:hAnsi="Arial" w:cs="Arial"/>
              </w:rPr>
            </w:pPr>
            <w:r>
              <w:rPr>
                <w:rFonts w:ascii="Arial" w:hAnsi="Arial" w:cs="Arial"/>
              </w:rPr>
              <w:t>4</w:t>
            </w:r>
          </w:p>
        </w:tc>
        <w:tc>
          <w:tcPr>
            <w:tcW w:w="2700" w:type="dxa"/>
            <w:gridSpan w:val="3"/>
            <w:shd w:val="clear" w:color="auto" w:fill="FDE9D9" w:themeFill="accent6" w:themeFillTint="33"/>
            <w:vAlign w:val="center"/>
          </w:tcPr>
          <w:p w:rsidR="00D14AF0" w:rsidRPr="008D66E2" w:rsidRDefault="00D14AF0" w:rsidP="003C6039">
            <w:pPr>
              <w:jc w:val="center"/>
              <w:rPr>
                <w:rFonts w:ascii="Arial" w:hAnsi="Arial" w:cs="Arial"/>
              </w:rPr>
            </w:pPr>
            <w:r>
              <w:rPr>
                <w:rFonts w:ascii="Arial" w:hAnsi="Arial" w:cs="Arial"/>
              </w:rPr>
              <w:t>3</w:t>
            </w:r>
          </w:p>
        </w:tc>
        <w:tc>
          <w:tcPr>
            <w:tcW w:w="871" w:type="dxa"/>
            <w:vAlign w:val="center"/>
          </w:tcPr>
          <w:p w:rsidR="00D14AF0" w:rsidRPr="008D66E2" w:rsidRDefault="00D14AF0" w:rsidP="00B97EE7">
            <w:pPr>
              <w:jc w:val="right"/>
              <w:rPr>
                <w:rFonts w:ascii="Arial" w:hAnsi="Arial" w:cs="Arial"/>
              </w:rPr>
            </w:pPr>
          </w:p>
        </w:tc>
      </w:tr>
      <w:tr w:rsidR="00766B1C" w:rsidRPr="008D66E2" w:rsidTr="0084652F">
        <w:trPr>
          <w:trHeight w:val="396"/>
        </w:trPr>
        <w:tc>
          <w:tcPr>
            <w:tcW w:w="4068" w:type="dxa"/>
          </w:tcPr>
          <w:p w:rsidR="00766B1C" w:rsidRPr="008D66E2" w:rsidRDefault="001752DD" w:rsidP="001752DD">
            <w:pPr>
              <w:rPr>
                <w:rFonts w:ascii="Arial" w:hAnsi="Arial" w:cs="Arial"/>
              </w:rPr>
            </w:pPr>
            <w:r>
              <w:rPr>
                <w:rFonts w:ascii="Arial" w:hAnsi="Arial" w:cs="Arial"/>
              </w:rPr>
              <w:t>Mirror c</w:t>
            </w:r>
            <w:r w:rsidR="00766B1C">
              <w:rPr>
                <w:rFonts w:ascii="Arial" w:hAnsi="Arial" w:cs="Arial"/>
              </w:rPr>
              <w:t>urvature</w:t>
            </w:r>
          </w:p>
        </w:tc>
        <w:tc>
          <w:tcPr>
            <w:tcW w:w="1035" w:type="dxa"/>
            <w:vAlign w:val="center"/>
          </w:tcPr>
          <w:p w:rsidR="00766B1C" w:rsidRPr="008D66E2" w:rsidRDefault="00766B1C" w:rsidP="00B97EE7">
            <w:pPr>
              <w:jc w:val="right"/>
              <w:rPr>
                <w:rFonts w:ascii="Arial" w:hAnsi="Arial" w:cs="Arial"/>
              </w:rPr>
            </w:pPr>
            <w:r>
              <w:rPr>
                <w:rFonts w:ascii="Arial" w:hAnsi="Arial" w:cs="Arial"/>
              </w:rPr>
              <w:t>1.00</w:t>
            </w:r>
          </w:p>
        </w:tc>
        <w:tc>
          <w:tcPr>
            <w:tcW w:w="1035" w:type="dxa"/>
            <w:vAlign w:val="center"/>
          </w:tcPr>
          <w:p w:rsidR="00766B1C" w:rsidRPr="008D66E2" w:rsidRDefault="00766B1C" w:rsidP="00B97EE7">
            <w:pPr>
              <w:jc w:val="right"/>
              <w:rPr>
                <w:rFonts w:ascii="Arial" w:hAnsi="Arial" w:cs="Arial"/>
              </w:rPr>
            </w:pPr>
            <w:r>
              <w:rPr>
                <w:rFonts w:ascii="Arial" w:hAnsi="Arial" w:cs="Arial"/>
              </w:rPr>
              <w:t>3.00</w:t>
            </w:r>
          </w:p>
        </w:tc>
        <w:tc>
          <w:tcPr>
            <w:tcW w:w="900" w:type="dxa"/>
            <w:shd w:val="clear" w:color="auto" w:fill="FDE9D9" w:themeFill="accent6" w:themeFillTint="33"/>
            <w:vAlign w:val="center"/>
          </w:tcPr>
          <w:p w:rsidR="00766B1C" w:rsidRPr="008D66E2" w:rsidRDefault="00766B1C" w:rsidP="00497745">
            <w:pPr>
              <w:jc w:val="right"/>
              <w:rPr>
                <w:rFonts w:ascii="Arial" w:hAnsi="Arial" w:cs="Arial"/>
              </w:rPr>
            </w:pPr>
            <w:r>
              <w:rPr>
                <w:rFonts w:ascii="Arial" w:hAnsi="Arial" w:cs="Arial"/>
              </w:rPr>
              <w:t>3.00</w:t>
            </w:r>
          </w:p>
        </w:tc>
        <w:tc>
          <w:tcPr>
            <w:tcW w:w="900" w:type="dxa"/>
            <w:shd w:val="clear" w:color="auto" w:fill="FDE9D9" w:themeFill="accent6" w:themeFillTint="33"/>
            <w:vAlign w:val="center"/>
          </w:tcPr>
          <w:p w:rsidR="00766B1C" w:rsidRPr="008D66E2" w:rsidRDefault="00766B1C" w:rsidP="00497745">
            <w:pPr>
              <w:jc w:val="center"/>
              <w:rPr>
                <w:rFonts w:ascii="Arial" w:hAnsi="Arial" w:cs="Arial"/>
              </w:rPr>
            </w:pPr>
            <w:r>
              <w:rPr>
                <w:rFonts w:ascii="Arial" w:hAnsi="Arial" w:cs="Arial"/>
              </w:rPr>
              <w:t>2.00</w:t>
            </w:r>
          </w:p>
        </w:tc>
        <w:tc>
          <w:tcPr>
            <w:tcW w:w="900" w:type="dxa"/>
            <w:shd w:val="clear" w:color="auto" w:fill="FDE9D9" w:themeFill="accent6" w:themeFillTint="33"/>
            <w:vAlign w:val="center"/>
          </w:tcPr>
          <w:p w:rsidR="00766B1C" w:rsidRPr="008D66E2" w:rsidRDefault="00766B1C" w:rsidP="00497745">
            <w:pPr>
              <w:jc w:val="center"/>
              <w:rPr>
                <w:rFonts w:ascii="Arial" w:hAnsi="Arial" w:cs="Arial"/>
              </w:rPr>
            </w:pPr>
            <w:r>
              <w:rPr>
                <w:rFonts w:ascii="Arial" w:hAnsi="Arial" w:cs="Arial"/>
              </w:rPr>
              <w:t>1.00</w:t>
            </w:r>
          </w:p>
        </w:tc>
        <w:tc>
          <w:tcPr>
            <w:tcW w:w="871" w:type="dxa"/>
            <w:vAlign w:val="center"/>
          </w:tcPr>
          <w:p w:rsidR="00766B1C" w:rsidRPr="008D66E2" w:rsidRDefault="00766B1C" w:rsidP="00B97EE7">
            <w:pPr>
              <w:jc w:val="right"/>
              <w:rPr>
                <w:rFonts w:ascii="Arial" w:hAnsi="Arial" w:cs="Arial"/>
              </w:rPr>
            </w:pPr>
            <w:r>
              <w:rPr>
                <w:rFonts w:ascii="Arial" w:hAnsi="Arial" w:cs="Arial"/>
              </w:rPr>
              <w:t>m</w:t>
            </w:r>
          </w:p>
        </w:tc>
      </w:tr>
      <w:tr w:rsidR="004010EF" w:rsidRPr="008D66E2" w:rsidTr="0084652F">
        <w:trPr>
          <w:trHeight w:val="396"/>
        </w:trPr>
        <w:tc>
          <w:tcPr>
            <w:tcW w:w="4068" w:type="dxa"/>
          </w:tcPr>
          <w:p w:rsidR="004010EF" w:rsidRPr="008D66E2" w:rsidRDefault="004010EF" w:rsidP="00517984">
            <w:pPr>
              <w:rPr>
                <w:rFonts w:ascii="Arial" w:hAnsi="Arial" w:cs="Arial"/>
              </w:rPr>
            </w:pPr>
            <w:r>
              <w:rPr>
                <w:rFonts w:ascii="Arial" w:hAnsi="Arial" w:cs="Arial"/>
              </w:rPr>
              <w:t xml:space="preserve">Input/output </w:t>
            </w:r>
            <w:r w:rsidR="00517984">
              <w:rPr>
                <w:rFonts w:ascii="Arial" w:hAnsi="Arial" w:cs="Arial"/>
              </w:rPr>
              <w:t>r</w:t>
            </w:r>
            <w:r>
              <w:rPr>
                <w:rFonts w:ascii="Arial" w:hAnsi="Arial" w:cs="Arial"/>
              </w:rPr>
              <w:t>eflectivity</w:t>
            </w:r>
          </w:p>
        </w:tc>
        <w:tc>
          <w:tcPr>
            <w:tcW w:w="1035" w:type="dxa"/>
            <w:vAlign w:val="center"/>
          </w:tcPr>
          <w:p w:rsidR="004010EF" w:rsidRPr="008D66E2" w:rsidRDefault="006E2E68" w:rsidP="00804A9A">
            <w:pPr>
              <w:jc w:val="right"/>
              <w:rPr>
                <w:rFonts w:ascii="Arial" w:hAnsi="Arial" w:cs="Arial"/>
              </w:rPr>
            </w:pPr>
            <w:r>
              <w:rPr>
                <w:rFonts w:ascii="Arial" w:hAnsi="Arial" w:cs="Arial"/>
              </w:rPr>
              <w:t>1.</w:t>
            </w:r>
            <w:r w:rsidR="00804A9A">
              <w:rPr>
                <w:rFonts w:ascii="Arial" w:hAnsi="Arial" w:cs="Arial"/>
              </w:rPr>
              <w:t>4</w:t>
            </w:r>
          </w:p>
        </w:tc>
        <w:tc>
          <w:tcPr>
            <w:tcW w:w="1035" w:type="dxa"/>
            <w:vAlign w:val="center"/>
          </w:tcPr>
          <w:p w:rsidR="004010EF" w:rsidRPr="008D66E2" w:rsidRDefault="0035579E" w:rsidP="00632428">
            <w:pPr>
              <w:jc w:val="right"/>
              <w:rPr>
                <w:rFonts w:ascii="Arial" w:hAnsi="Arial" w:cs="Arial"/>
              </w:rPr>
            </w:pPr>
            <w:r>
              <w:rPr>
                <w:rFonts w:ascii="Arial" w:hAnsi="Arial" w:cs="Arial"/>
              </w:rPr>
              <w:t>2</w:t>
            </w:r>
            <w:r w:rsidR="00561CA1">
              <w:rPr>
                <w:rFonts w:ascii="Arial" w:hAnsi="Arial" w:cs="Arial"/>
              </w:rPr>
              <w:t>.</w:t>
            </w:r>
            <w:r>
              <w:rPr>
                <w:rFonts w:ascii="Arial" w:hAnsi="Arial" w:cs="Arial"/>
              </w:rPr>
              <w:t>4</w:t>
            </w:r>
            <w:r w:rsidR="00632428">
              <w:rPr>
                <w:rFonts w:ascii="Arial" w:hAnsi="Arial" w:cs="Arial"/>
              </w:rPr>
              <w:t>8</w:t>
            </w:r>
          </w:p>
        </w:tc>
        <w:tc>
          <w:tcPr>
            <w:tcW w:w="2700" w:type="dxa"/>
            <w:gridSpan w:val="3"/>
            <w:shd w:val="clear" w:color="auto" w:fill="FDE9D9" w:themeFill="accent6" w:themeFillTint="33"/>
            <w:vAlign w:val="center"/>
          </w:tcPr>
          <w:p w:rsidR="004010EF" w:rsidRDefault="0035579E" w:rsidP="00632428">
            <w:pPr>
              <w:jc w:val="center"/>
              <w:rPr>
                <w:rFonts w:ascii="Arial" w:hAnsi="Arial" w:cs="Arial"/>
              </w:rPr>
            </w:pPr>
            <w:r>
              <w:rPr>
                <w:rFonts w:ascii="Arial" w:hAnsi="Arial" w:cs="Arial"/>
              </w:rPr>
              <w:t>2</w:t>
            </w:r>
            <w:r w:rsidR="00561CA1">
              <w:rPr>
                <w:rFonts w:ascii="Arial" w:hAnsi="Arial" w:cs="Arial"/>
              </w:rPr>
              <w:t>.</w:t>
            </w:r>
            <w:r>
              <w:rPr>
                <w:rFonts w:ascii="Arial" w:hAnsi="Arial" w:cs="Arial"/>
              </w:rPr>
              <w:t>4</w:t>
            </w:r>
            <w:r w:rsidR="00632428">
              <w:rPr>
                <w:rFonts w:ascii="Arial" w:hAnsi="Arial" w:cs="Arial"/>
              </w:rPr>
              <w:t>8</w:t>
            </w:r>
          </w:p>
        </w:tc>
        <w:tc>
          <w:tcPr>
            <w:tcW w:w="871" w:type="dxa"/>
            <w:vAlign w:val="center"/>
          </w:tcPr>
          <w:p w:rsidR="004010EF" w:rsidRPr="008D66E2" w:rsidRDefault="006E2E68" w:rsidP="00B97EE7">
            <w:pPr>
              <w:jc w:val="right"/>
              <w:rPr>
                <w:rFonts w:ascii="Arial" w:hAnsi="Arial" w:cs="Arial"/>
              </w:rPr>
            </w:pPr>
            <w:r>
              <w:rPr>
                <w:rFonts w:ascii="Arial" w:hAnsi="Arial" w:cs="Arial"/>
              </w:rPr>
              <w:t>%</w:t>
            </w:r>
          </w:p>
        </w:tc>
      </w:tr>
      <w:tr w:rsidR="00497745" w:rsidRPr="008D66E2" w:rsidTr="0084652F">
        <w:trPr>
          <w:trHeight w:val="396"/>
        </w:trPr>
        <w:tc>
          <w:tcPr>
            <w:tcW w:w="4068" w:type="dxa"/>
          </w:tcPr>
          <w:p w:rsidR="00497745" w:rsidRPr="008D66E2" w:rsidRDefault="00497745">
            <w:pPr>
              <w:rPr>
                <w:rFonts w:ascii="Arial" w:hAnsi="Arial" w:cs="Arial"/>
              </w:rPr>
            </w:pPr>
            <w:r w:rsidRPr="008D66E2">
              <w:rPr>
                <w:rFonts w:ascii="Arial" w:hAnsi="Arial" w:cs="Arial"/>
              </w:rPr>
              <w:t>Finesse</w:t>
            </w:r>
          </w:p>
        </w:tc>
        <w:tc>
          <w:tcPr>
            <w:tcW w:w="1035" w:type="dxa"/>
            <w:vAlign w:val="center"/>
          </w:tcPr>
          <w:p w:rsidR="00497745" w:rsidRPr="008D66E2" w:rsidRDefault="00497745" w:rsidP="00B97EE7">
            <w:pPr>
              <w:jc w:val="right"/>
              <w:rPr>
                <w:rFonts w:ascii="Arial" w:hAnsi="Arial" w:cs="Arial"/>
              </w:rPr>
            </w:pPr>
            <w:r w:rsidRPr="008D66E2">
              <w:rPr>
                <w:rFonts w:ascii="Arial" w:hAnsi="Arial" w:cs="Arial"/>
              </w:rPr>
              <w:t>380</w:t>
            </w:r>
          </w:p>
        </w:tc>
        <w:tc>
          <w:tcPr>
            <w:tcW w:w="1035" w:type="dxa"/>
            <w:vAlign w:val="center"/>
          </w:tcPr>
          <w:p w:rsidR="00497745" w:rsidRPr="008D66E2" w:rsidRDefault="00497745" w:rsidP="00B97EE7">
            <w:pPr>
              <w:jc w:val="right"/>
              <w:rPr>
                <w:rFonts w:ascii="Arial" w:hAnsi="Arial" w:cs="Arial"/>
              </w:rPr>
            </w:pPr>
            <w:r w:rsidRPr="008D66E2">
              <w:rPr>
                <w:rFonts w:ascii="Arial" w:hAnsi="Arial" w:cs="Arial"/>
              </w:rPr>
              <w:t>125</w:t>
            </w:r>
          </w:p>
        </w:tc>
        <w:tc>
          <w:tcPr>
            <w:tcW w:w="2700" w:type="dxa"/>
            <w:gridSpan w:val="3"/>
            <w:shd w:val="clear" w:color="auto" w:fill="FDE9D9" w:themeFill="accent6" w:themeFillTint="33"/>
            <w:vAlign w:val="center"/>
          </w:tcPr>
          <w:p w:rsidR="00497745" w:rsidRPr="008D66E2" w:rsidRDefault="00497745" w:rsidP="00497745">
            <w:pPr>
              <w:jc w:val="center"/>
              <w:rPr>
                <w:rFonts w:ascii="Arial" w:hAnsi="Arial" w:cs="Arial"/>
              </w:rPr>
            </w:pPr>
            <w:r>
              <w:rPr>
                <w:rFonts w:ascii="Arial" w:hAnsi="Arial" w:cs="Arial"/>
              </w:rPr>
              <w:t>125</w:t>
            </w:r>
          </w:p>
        </w:tc>
        <w:tc>
          <w:tcPr>
            <w:tcW w:w="871" w:type="dxa"/>
            <w:vAlign w:val="center"/>
          </w:tcPr>
          <w:p w:rsidR="00497745" w:rsidRPr="008D66E2" w:rsidRDefault="00497745" w:rsidP="00B97EE7">
            <w:pPr>
              <w:jc w:val="right"/>
              <w:rPr>
                <w:rFonts w:ascii="Arial" w:hAnsi="Arial" w:cs="Arial"/>
              </w:rPr>
            </w:pPr>
          </w:p>
        </w:tc>
      </w:tr>
      <w:tr w:rsidR="00497745" w:rsidRPr="008D66E2" w:rsidTr="0084652F">
        <w:trPr>
          <w:trHeight w:val="396"/>
        </w:trPr>
        <w:tc>
          <w:tcPr>
            <w:tcW w:w="4068" w:type="dxa"/>
          </w:tcPr>
          <w:p w:rsidR="00497745" w:rsidRPr="008D66E2" w:rsidRDefault="00497745">
            <w:pPr>
              <w:rPr>
                <w:rFonts w:ascii="Arial" w:hAnsi="Arial" w:cs="Arial"/>
              </w:rPr>
            </w:pPr>
            <w:r w:rsidRPr="008D66E2">
              <w:rPr>
                <w:rFonts w:ascii="Arial" w:hAnsi="Arial" w:cs="Arial"/>
              </w:rPr>
              <w:t>Power build-up</w:t>
            </w:r>
          </w:p>
        </w:tc>
        <w:tc>
          <w:tcPr>
            <w:tcW w:w="1035" w:type="dxa"/>
            <w:vAlign w:val="center"/>
          </w:tcPr>
          <w:p w:rsidR="00497745" w:rsidRPr="008D66E2" w:rsidRDefault="00497745" w:rsidP="00B97EE7">
            <w:pPr>
              <w:jc w:val="right"/>
              <w:rPr>
                <w:rFonts w:ascii="Arial" w:hAnsi="Arial" w:cs="Arial"/>
              </w:rPr>
            </w:pPr>
            <w:r w:rsidRPr="008D66E2">
              <w:rPr>
                <w:rFonts w:ascii="Arial" w:hAnsi="Arial" w:cs="Arial"/>
              </w:rPr>
              <w:t>120</w:t>
            </w:r>
          </w:p>
        </w:tc>
        <w:tc>
          <w:tcPr>
            <w:tcW w:w="1035" w:type="dxa"/>
            <w:vAlign w:val="center"/>
          </w:tcPr>
          <w:p w:rsidR="00497745" w:rsidRPr="008D66E2" w:rsidRDefault="00497745" w:rsidP="00B97EE7">
            <w:pPr>
              <w:jc w:val="right"/>
              <w:rPr>
                <w:rFonts w:ascii="Arial" w:hAnsi="Arial" w:cs="Arial"/>
              </w:rPr>
            </w:pPr>
            <w:r w:rsidRPr="008D66E2">
              <w:rPr>
                <w:rFonts w:ascii="Arial" w:hAnsi="Arial" w:cs="Arial"/>
              </w:rPr>
              <w:t>40</w:t>
            </w:r>
          </w:p>
        </w:tc>
        <w:tc>
          <w:tcPr>
            <w:tcW w:w="2700" w:type="dxa"/>
            <w:gridSpan w:val="3"/>
            <w:shd w:val="clear" w:color="auto" w:fill="FDE9D9" w:themeFill="accent6" w:themeFillTint="33"/>
            <w:vAlign w:val="center"/>
          </w:tcPr>
          <w:p w:rsidR="00497745" w:rsidRPr="008D66E2" w:rsidRDefault="00497745" w:rsidP="00497745">
            <w:pPr>
              <w:jc w:val="center"/>
              <w:rPr>
                <w:rFonts w:ascii="Arial" w:hAnsi="Arial" w:cs="Arial"/>
              </w:rPr>
            </w:pPr>
            <w:r>
              <w:rPr>
                <w:rFonts w:ascii="Arial" w:hAnsi="Arial" w:cs="Arial"/>
              </w:rPr>
              <w:t>40</w:t>
            </w:r>
          </w:p>
        </w:tc>
        <w:tc>
          <w:tcPr>
            <w:tcW w:w="871" w:type="dxa"/>
            <w:vAlign w:val="center"/>
          </w:tcPr>
          <w:p w:rsidR="00497745" w:rsidRPr="008D66E2" w:rsidRDefault="00497745" w:rsidP="00B97EE7">
            <w:pPr>
              <w:jc w:val="right"/>
              <w:rPr>
                <w:rFonts w:ascii="Arial" w:hAnsi="Arial" w:cs="Arial"/>
              </w:rPr>
            </w:pPr>
          </w:p>
        </w:tc>
      </w:tr>
      <w:tr w:rsidR="00766B1C" w:rsidRPr="008D66E2" w:rsidTr="0084652F">
        <w:trPr>
          <w:trHeight w:val="396"/>
        </w:trPr>
        <w:tc>
          <w:tcPr>
            <w:tcW w:w="4068" w:type="dxa"/>
          </w:tcPr>
          <w:p w:rsidR="00766B1C" w:rsidRPr="008D66E2" w:rsidRDefault="00766B1C" w:rsidP="00766B1C">
            <w:pPr>
              <w:rPr>
                <w:rFonts w:ascii="Arial" w:hAnsi="Arial" w:cs="Arial"/>
              </w:rPr>
            </w:pPr>
            <w:r w:rsidRPr="008D66E2">
              <w:rPr>
                <w:rFonts w:ascii="Arial" w:hAnsi="Arial" w:cs="Arial"/>
              </w:rPr>
              <w:t>Round-trip length</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0.42</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2.02</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1.29</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0.86</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1.17</w:t>
            </w:r>
          </w:p>
        </w:tc>
        <w:tc>
          <w:tcPr>
            <w:tcW w:w="871" w:type="dxa"/>
            <w:vAlign w:val="center"/>
          </w:tcPr>
          <w:p w:rsidR="00766B1C" w:rsidRPr="008D66E2" w:rsidRDefault="00766B1C" w:rsidP="00766B1C">
            <w:pPr>
              <w:jc w:val="right"/>
              <w:rPr>
                <w:rFonts w:ascii="Arial" w:hAnsi="Arial" w:cs="Arial"/>
              </w:rPr>
            </w:pPr>
            <w:r w:rsidRPr="008D66E2">
              <w:rPr>
                <w:rFonts w:ascii="Arial" w:hAnsi="Arial" w:cs="Arial"/>
              </w:rPr>
              <w:t>m</w:t>
            </w:r>
          </w:p>
        </w:tc>
      </w:tr>
      <w:tr w:rsidR="00766B1C" w:rsidRPr="008D66E2" w:rsidTr="0084652F">
        <w:trPr>
          <w:trHeight w:val="396"/>
        </w:trPr>
        <w:tc>
          <w:tcPr>
            <w:tcW w:w="4068" w:type="dxa"/>
          </w:tcPr>
          <w:p w:rsidR="00766B1C" w:rsidRPr="008D66E2" w:rsidRDefault="00766B1C" w:rsidP="00766B1C">
            <w:pPr>
              <w:rPr>
                <w:rFonts w:ascii="Arial" w:hAnsi="Arial" w:cs="Arial"/>
              </w:rPr>
            </w:pPr>
            <w:r w:rsidRPr="008D66E2">
              <w:rPr>
                <w:rFonts w:ascii="Arial" w:hAnsi="Arial" w:cs="Arial"/>
              </w:rPr>
              <w:t>FSR</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710</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150</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232</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348</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255</w:t>
            </w:r>
          </w:p>
        </w:tc>
        <w:tc>
          <w:tcPr>
            <w:tcW w:w="871" w:type="dxa"/>
            <w:vAlign w:val="center"/>
          </w:tcPr>
          <w:p w:rsidR="00766B1C" w:rsidRPr="008D66E2" w:rsidRDefault="00766B1C" w:rsidP="00766B1C">
            <w:pPr>
              <w:jc w:val="right"/>
              <w:rPr>
                <w:rFonts w:ascii="Arial" w:hAnsi="Arial" w:cs="Arial"/>
              </w:rPr>
            </w:pPr>
            <w:r w:rsidRPr="008D66E2">
              <w:rPr>
                <w:rFonts w:ascii="Arial" w:hAnsi="Arial" w:cs="Arial"/>
              </w:rPr>
              <w:t>MHz</w:t>
            </w:r>
          </w:p>
        </w:tc>
      </w:tr>
      <w:tr w:rsidR="00766B1C" w:rsidRPr="008D66E2" w:rsidTr="0084652F">
        <w:trPr>
          <w:trHeight w:val="396"/>
        </w:trPr>
        <w:tc>
          <w:tcPr>
            <w:tcW w:w="4068" w:type="dxa"/>
          </w:tcPr>
          <w:p w:rsidR="00766B1C" w:rsidRPr="008D66E2" w:rsidRDefault="00766B1C" w:rsidP="00766B1C">
            <w:pPr>
              <w:rPr>
                <w:rFonts w:ascii="Arial" w:hAnsi="Arial" w:cs="Arial"/>
              </w:rPr>
            </w:pPr>
            <w:r w:rsidRPr="008D66E2">
              <w:rPr>
                <w:rFonts w:ascii="Arial" w:hAnsi="Arial" w:cs="Arial"/>
              </w:rPr>
              <w:t>Cavity pole</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0.95</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0.6</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0.93</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1.38</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1.02</w:t>
            </w:r>
          </w:p>
        </w:tc>
        <w:tc>
          <w:tcPr>
            <w:tcW w:w="871" w:type="dxa"/>
            <w:vAlign w:val="center"/>
          </w:tcPr>
          <w:p w:rsidR="00766B1C" w:rsidRPr="008D66E2" w:rsidRDefault="00766B1C" w:rsidP="00766B1C">
            <w:pPr>
              <w:jc w:val="right"/>
              <w:rPr>
                <w:rFonts w:ascii="Arial" w:hAnsi="Arial" w:cs="Arial"/>
              </w:rPr>
            </w:pPr>
            <w:r w:rsidRPr="008D66E2">
              <w:rPr>
                <w:rFonts w:ascii="Arial" w:hAnsi="Arial" w:cs="Arial"/>
              </w:rPr>
              <w:t>MHz</w:t>
            </w:r>
          </w:p>
        </w:tc>
      </w:tr>
      <w:tr w:rsidR="00766B1C" w:rsidRPr="008D66E2" w:rsidTr="0084652F">
        <w:trPr>
          <w:trHeight w:val="396"/>
        </w:trPr>
        <w:tc>
          <w:tcPr>
            <w:tcW w:w="4068" w:type="dxa"/>
          </w:tcPr>
          <w:p w:rsidR="00766B1C" w:rsidRPr="008D66E2" w:rsidRDefault="00766B1C" w:rsidP="00766B1C">
            <w:pPr>
              <w:rPr>
                <w:rFonts w:ascii="Arial" w:hAnsi="Arial" w:cs="Arial"/>
              </w:rPr>
            </w:pPr>
            <w:r w:rsidRPr="008D66E2">
              <w:rPr>
                <w:rFonts w:ascii="Arial" w:hAnsi="Arial" w:cs="Arial"/>
              </w:rPr>
              <w:t>Attenuation at 9.1 MHz</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~10</w:t>
            </w:r>
          </w:p>
        </w:tc>
        <w:tc>
          <w:tcPr>
            <w:tcW w:w="1035" w:type="dxa"/>
            <w:vAlign w:val="center"/>
          </w:tcPr>
          <w:p w:rsidR="00766B1C" w:rsidRPr="008D66E2" w:rsidRDefault="00766B1C" w:rsidP="00766B1C">
            <w:pPr>
              <w:jc w:val="right"/>
              <w:rPr>
                <w:rFonts w:ascii="Arial" w:hAnsi="Arial" w:cs="Arial"/>
              </w:rPr>
            </w:pPr>
            <w:r w:rsidRPr="008D66E2">
              <w:rPr>
                <w:rFonts w:ascii="Arial" w:hAnsi="Arial" w:cs="Arial"/>
              </w:rPr>
              <w:t>~15</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~10</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~7</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~9</w:t>
            </w:r>
          </w:p>
        </w:tc>
        <w:tc>
          <w:tcPr>
            <w:tcW w:w="871" w:type="dxa"/>
            <w:vAlign w:val="center"/>
          </w:tcPr>
          <w:p w:rsidR="00766B1C" w:rsidRPr="008D66E2" w:rsidRDefault="00766B1C" w:rsidP="00766B1C">
            <w:pPr>
              <w:jc w:val="right"/>
              <w:rPr>
                <w:rFonts w:ascii="Arial" w:hAnsi="Arial" w:cs="Arial"/>
              </w:rPr>
            </w:pPr>
          </w:p>
        </w:tc>
      </w:tr>
      <w:tr w:rsidR="00DC00D8" w:rsidRPr="008D66E2" w:rsidTr="0084652F">
        <w:trPr>
          <w:trHeight w:val="396"/>
        </w:trPr>
        <w:tc>
          <w:tcPr>
            <w:tcW w:w="4068" w:type="dxa"/>
          </w:tcPr>
          <w:p w:rsidR="00DC00D8" w:rsidRPr="008D66E2" w:rsidRDefault="00DC00D8" w:rsidP="00766B1C">
            <w:pPr>
              <w:rPr>
                <w:rFonts w:ascii="Arial" w:hAnsi="Arial" w:cs="Arial"/>
              </w:rPr>
            </w:pPr>
            <w:r>
              <w:rPr>
                <w:rFonts w:ascii="Arial" w:hAnsi="Arial" w:cs="Arial"/>
              </w:rPr>
              <w:t>Waist size</w:t>
            </w:r>
          </w:p>
        </w:tc>
        <w:tc>
          <w:tcPr>
            <w:tcW w:w="1035" w:type="dxa"/>
            <w:vAlign w:val="center"/>
          </w:tcPr>
          <w:p w:rsidR="00DC00D8" w:rsidRDefault="00F86827" w:rsidP="00766B1C">
            <w:pPr>
              <w:jc w:val="right"/>
              <w:rPr>
                <w:rFonts w:ascii="Arial" w:hAnsi="Arial" w:cs="Arial"/>
              </w:rPr>
            </w:pPr>
            <w:r>
              <w:rPr>
                <w:rFonts w:ascii="Arial" w:hAnsi="Arial" w:cs="Arial"/>
              </w:rPr>
              <w:t>0.37</w:t>
            </w:r>
          </w:p>
        </w:tc>
        <w:tc>
          <w:tcPr>
            <w:tcW w:w="1035" w:type="dxa"/>
            <w:vAlign w:val="center"/>
          </w:tcPr>
          <w:p w:rsidR="00DC00D8" w:rsidRDefault="00CB4B2E" w:rsidP="00766B1C">
            <w:pPr>
              <w:jc w:val="right"/>
              <w:rPr>
                <w:rFonts w:ascii="Arial" w:hAnsi="Arial" w:cs="Arial"/>
              </w:rPr>
            </w:pPr>
            <w:r>
              <w:rPr>
                <w:rFonts w:ascii="Arial" w:hAnsi="Arial" w:cs="Arial"/>
              </w:rPr>
              <w:t>0.5</w:t>
            </w:r>
            <w:r w:rsidR="00CB16EF">
              <w:rPr>
                <w:rFonts w:ascii="Arial" w:hAnsi="Arial" w:cs="Arial"/>
              </w:rPr>
              <w:t>/0.7</w:t>
            </w:r>
          </w:p>
        </w:tc>
        <w:tc>
          <w:tcPr>
            <w:tcW w:w="900" w:type="dxa"/>
            <w:shd w:val="clear" w:color="auto" w:fill="FDE9D9" w:themeFill="accent6" w:themeFillTint="33"/>
            <w:vAlign w:val="center"/>
          </w:tcPr>
          <w:p w:rsidR="00DC00D8" w:rsidRDefault="002C5A7A" w:rsidP="00766B1C">
            <w:pPr>
              <w:jc w:val="right"/>
              <w:rPr>
                <w:rFonts w:ascii="Arial" w:hAnsi="Arial" w:cs="Arial"/>
              </w:rPr>
            </w:pPr>
            <w:r>
              <w:rPr>
                <w:rFonts w:ascii="Arial" w:hAnsi="Arial" w:cs="Arial"/>
              </w:rPr>
              <w:t>0.65</w:t>
            </w:r>
          </w:p>
        </w:tc>
        <w:tc>
          <w:tcPr>
            <w:tcW w:w="900" w:type="dxa"/>
            <w:shd w:val="clear" w:color="auto" w:fill="FDE9D9" w:themeFill="accent6" w:themeFillTint="33"/>
            <w:vAlign w:val="center"/>
          </w:tcPr>
          <w:p w:rsidR="00DC00D8" w:rsidRDefault="002C5A7A" w:rsidP="00766B1C">
            <w:pPr>
              <w:jc w:val="right"/>
              <w:rPr>
                <w:rFonts w:ascii="Arial" w:hAnsi="Arial" w:cs="Arial"/>
              </w:rPr>
            </w:pPr>
            <w:r>
              <w:rPr>
                <w:rFonts w:ascii="Arial" w:hAnsi="Arial" w:cs="Arial"/>
              </w:rPr>
              <w:t>0.</w:t>
            </w:r>
            <w:r w:rsidR="008D419E">
              <w:rPr>
                <w:rFonts w:ascii="Arial" w:hAnsi="Arial" w:cs="Arial"/>
              </w:rPr>
              <w:t>53</w:t>
            </w:r>
          </w:p>
        </w:tc>
        <w:tc>
          <w:tcPr>
            <w:tcW w:w="900" w:type="dxa"/>
            <w:shd w:val="clear" w:color="auto" w:fill="FDE9D9" w:themeFill="accent6" w:themeFillTint="33"/>
            <w:vAlign w:val="center"/>
          </w:tcPr>
          <w:p w:rsidR="00DC00D8" w:rsidRDefault="002C5A7A" w:rsidP="00766B1C">
            <w:pPr>
              <w:jc w:val="right"/>
              <w:rPr>
                <w:rFonts w:ascii="Arial" w:hAnsi="Arial" w:cs="Arial"/>
              </w:rPr>
            </w:pPr>
            <w:r>
              <w:rPr>
                <w:rFonts w:ascii="Arial" w:hAnsi="Arial" w:cs="Arial"/>
              </w:rPr>
              <w:t>0.</w:t>
            </w:r>
            <w:r w:rsidR="008D419E">
              <w:rPr>
                <w:rFonts w:ascii="Arial" w:hAnsi="Arial" w:cs="Arial"/>
              </w:rPr>
              <w:t>41</w:t>
            </w:r>
          </w:p>
        </w:tc>
        <w:tc>
          <w:tcPr>
            <w:tcW w:w="871" w:type="dxa"/>
            <w:vAlign w:val="center"/>
          </w:tcPr>
          <w:p w:rsidR="00DC00D8" w:rsidRDefault="00DC00D8" w:rsidP="00766B1C">
            <w:pPr>
              <w:jc w:val="right"/>
              <w:rPr>
                <w:rFonts w:ascii="Arial" w:hAnsi="Arial" w:cs="Arial"/>
              </w:rPr>
            </w:pPr>
            <w:r>
              <w:rPr>
                <w:rFonts w:ascii="Arial" w:hAnsi="Arial" w:cs="Arial"/>
              </w:rPr>
              <w:t>mm</w:t>
            </w:r>
          </w:p>
        </w:tc>
      </w:tr>
      <w:tr w:rsidR="00B47EF1" w:rsidRPr="008D66E2" w:rsidTr="0084652F">
        <w:trPr>
          <w:trHeight w:val="396"/>
        </w:trPr>
        <w:tc>
          <w:tcPr>
            <w:tcW w:w="4068" w:type="dxa"/>
          </w:tcPr>
          <w:p w:rsidR="00B47EF1" w:rsidRDefault="00B47EF1" w:rsidP="00766B1C">
            <w:pPr>
              <w:rPr>
                <w:rFonts w:ascii="Arial" w:hAnsi="Arial" w:cs="Arial"/>
              </w:rPr>
            </w:pPr>
            <w:r>
              <w:rPr>
                <w:rFonts w:ascii="Arial" w:hAnsi="Arial" w:cs="Arial"/>
              </w:rPr>
              <w:t>Rayleigh range</w:t>
            </w:r>
          </w:p>
        </w:tc>
        <w:tc>
          <w:tcPr>
            <w:tcW w:w="1035" w:type="dxa"/>
            <w:vAlign w:val="center"/>
          </w:tcPr>
          <w:p w:rsidR="00B47EF1" w:rsidRDefault="00C02E86" w:rsidP="00766B1C">
            <w:pPr>
              <w:jc w:val="right"/>
              <w:rPr>
                <w:rFonts w:ascii="Arial" w:hAnsi="Arial" w:cs="Arial"/>
              </w:rPr>
            </w:pPr>
            <w:r>
              <w:rPr>
                <w:rFonts w:ascii="Arial" w:hAnsi="Arial" w:cs="Arial"/>
              </w:rPr>
              <w:t>0.40</w:t>
            </w:r>
          </w:p>
        </w:tc>
        <w:tc>
          <w:tcPr>
            <w:tcW w:w="1035" w:type="dxa"/>
            <w:vAlign w:val="center"/>
          </w:tcPr>
          <w:p w:rsidR="00B47EF1" w:rsidRDefault="00C02E86" w:rsidP="00766B1C">
            <w:pPr>
              <w:jc w:val="right"/>
              <w:rPr>
                <w:rFonts w:ascii="Arial" w:hAnsi="Arial" w:cs="Arial"/>
              </w:rPr>
            </w:pPr>
            <w:r>
              <w:rPr>
                <w:rFonts w:ascii="Arial" w:hAnsi="Arial" w:cs="Arial"/>
              </w:rPr>
              <w:t>0.85/</w:t>
            </w:r>
            <w:r w:rsidR="009E0FC9">
              <w:rPr>
                <w:rFonts w:ascii="Arial" w:hAnsi="Arial" w:cs="Arial"/>
              </w:rPr>
              <w:t>   </w:t>
            </w:r>
          </w:p>
        </w:tc>
        <w:tc>
          <w:tcPr>
            <w:tcW w:w="900" w:type="dxa"/>
            <w:shd w:val="clear" w:color="auto" w:fill="FDE9D9" w:themeFill="accent6" w:themeFillTint="33"/>
            <w:vAlign w:val="center"/>
          </w:tcPr>
          <w:p w:rsidR="00B47EF1" w:rsidRDefault="0041156A" w:rsidP="00766B1C">
            <w:pPr>
              <w:jc w:val="right"/>
              <w:rPr>
                <w:rFonts w:ascii="Arial" w:hAnsi="Arial" w:cs="Arial"/>
              </w:rPr>
            </w:pPr>
            <w:r>
              <w:rPr>
                <w:rFonts w:ascii="Arial" w:hAnsi="Arial" w:cs="Arial"/>
              </w:rPr>
              <w:t>1.23</w:t>
            </w:r>
          </w:p>
        </w:tc>
        <w:tc>
          <w:tcPr>
            <w:tcW w:w="900" w:type="dxa"/>
            <w:shd w:val="clear" w:color="auto" w:fill="FDE9D9" w:themeFill="accent6" w:themeFillTint="33"/>
            <w:vAlign w:val="center"/>
          </w:tcPr>
          <w:p w:rsidR="00B47EF1" w:rsidRDefault="0041156A" w:rsidP="00766B1C">
            <w:pPr>
              <w:jc w:val="right"/>
              <w:rPr>
                <w:rFonts w:ascii="Arial" w:hAnsi="Arial" w:cs="Arial"/>
              </w:rPr>
            </w:pPr>
            <w:r>
              <w:rPr>
                <w:rFonts w:ascii="Arial" w:hAnsi="Arial" w:cs="Arial"/>
              </w:rPr>
              <w:t>0.</w:t>
            </w:r>
            <w:r w:rsidR="008D419E">
              <w:rPr>
                <w:rFonts w:ascii="Arial" w:hAnsi="Arial" w:cs="Arial"/>
              </w:rPr>
              <w:t>82</w:t>
            </w:r>
          </w:p>
        </w:tc>
        <w:tc>
          <w:tcPr>
            <w:tcW w:w="900" w:type="dxa"/>
            <w:shd w:val="clear" w:color="auto" w:fill="FDE9D9" w:themeFill="accent6" w:themeFillTint="33"/>
            <w:vAlign w:val="center"/>
          </w:tcPr>
          <w:p w:rsidR="00B47EF1" w:rsidRDefault="0041156A" w:rsidP="00766B1C">
            <w:pPr>
              <w:jc w:val="right"/>
              <w:rPr>
                <w:rFonts w:ascii="Arial" w:hAnsi="Arial" w:cs="Arial"/>
              </w:rPr>
            </w:pPr>
            <w:r>
              <w:rPr>
                <w:rFonts w:ascii="Arial" w:hAnsi="Arial" w:cs="Arial"/>
              </w:rPr>
              <w:t>0.49</w:t>
            </w:r>
          </w:p>
        </w:tc>
        <w:tc>
          <w:tcPr>
            <w:tcW w:w="871" w:type="dxa"/>
            <w:vAlign w:val="center"/>
          </w:tcPr>
          <w:p w:rsidR="00B47EF1" w:rsidRDefault="0041156A" w:rsidP="00766B1C">
            <w:pPr>
              <w:jc w:val="right"/>
              <w:rPr>
                <w:rFonts w:ascii="Arial" w:hAnsi="Arial" w:cs="Arial"/>
              </w:rPr>
            </w:pPr>
            <w:r>
              <w:rPr>
                <w:rFonts w:ascii="Arial" w:hAnsi="Arial" w:cs="Arial"/>
              </w:rPr>
              <w:t>m</w:t>
            </w:r>
          </w:p>
        </w:tc>
      </w:tr>
      <w:tr w:rsidR="009F221A" w:rsidRPr="008D66E2" w:rsidTr="0084652F">
        <w:trPr>
          <w:trHeight w:val="396"/>
        </w:trPr>
        <w:tc>
          <w:tcPr>
            <w:tcW w:w="4068" w:type="dxa"/>
          </w:tcPr>
          <w:p w:rsidR="009F221A" w:rsidRDefault="009F221A" w:rsidP="00766B1C">
            <w:pPr>
              <w:rPr>
                <w:rFonts w:ascii="Arial" w:hAnsi="Arial" w:cs="Arial"/>
              </w:rPr>
            </w:pPr>
            <w:r>
              <w:rPr>
                <w:rFonts w:ascii="Arial" w:hAnsi="Arial" w:cs="Arial"/>
              </w:rPr>
              <w:t>Divergence angle</w:t>
            </w:r>
          </w:p>
        </w:tc>
        <w:tc>
          <w:tcPr>
            <w:tcW w:w="1035" w:type="dxa"/>
            <w:vAlign w:val="center"/>
          </w:tcPr>
          <w:p w:rsidR="009F221A" w:rsidRDefault="00C02E86" w:rsidP="00766B1C">
            <w:pPr>
              <w:jc w:val="right"/>
              <w:rPr>
                <w:rFonts w:ascii="Arial" w:hAnsi="Arial" w:cs="Arial"/>
              </w:rPr>
            </w:pPr>
            <w:r>
              <w:rPr>
                <w:rFonts w:ascii="Arial" w:hAnsi="Arial" w:cs="Arial"/>
              </w:rPr>
              <w:t>0.92</w:t>
            </w:r>
          </w:p>
        </w:tc>
        <w:tc>
          <w:tcPr>
            <w:tcW w:w="1035" w:type="dxa"/>
            <w:vAlign w:val="center"/>
          </w:tcPr>
          <w:p w:rsidR="009F221A" w:rsidRDefault="009E0FC9" w:rsidP="00766B1C">
            <w:pPr>
              <w:jc w:val="right"/>
              <w:rPr>
                <w:rFonts w:ascii="Arial" w:hAnsi="Arial" w:cs="Arial"/>
              </w:rPr>
            </w:pPr>
            <w:r>
              <w:rPr>
                <w:rFonts w:ascii="Arial" w:hAnsi="Arial" w:cs="Arial"/>
              </w:rPr>
              <w:t>0.63/</w:t>
            </w:r>
            <w:r>
              <w:t>   </w:t>
            </w:r>
            <w:r>
              <w:rPr>
                <w:rFonts w:ascii="Arial" w:hAnsi="Arial" w:cs="Arial"/>
              </w:rPr>
              <w:t xml:space="preserve">  </w:t>
            </w:r>
          </w:p>
        </w:tc>
        <w:tc>
          <w:tcPr>
            <w:tcW w:w="900" w:type="dxa"/>
            <w:shd w:val="clear" w:color="auto" w:fill="FDE9D9" w:themeFill="accent6" w:themeFillTint="33"/>
            <w:vAlign w:val="center"/>
          </w:tcPr>
          <w:p w:rsidR="009F221A" w:rsidRDefault="00FE45AA" w:rsidP="00766B1C">
            <w:pPr>
              <w:jc w:val="right"/>
              <w:rPr>
                <w:rFonts w:ascii="Arial" w:hAnsi="Arial" w:cs="Arial"/>
              </w:rPr>
            </w:pPr>
            <w:r>
              <w:rPr>
                <w:rFonts w:ascii="Arial" w:hAnsi="Arial" w:cs="Arial"/>
              </w:rPr>
              <w:t>0.52</w:t>
            </w:r>
          </w:p>
        </w:tc>
        <w:tc>
          <w:tcPr>
            <w:tcW w:w="900" w:type="dxa"/>
            <w:shd w:val="clear" w:color="auto" w:fill="FDE9D9" w:themeFill="accent6" w:themeFillTint="33"/>
            <w:vAlign w:val="center"/>
          </w:tcPr>
          <w:p w:rsidR="009F221A" w:rsidRDefault="00FE45AA" w:rsidP="00766B1C">
            <w:pPr>
              <w:jc w:val="right"/>
              <w:rPr>
                <w:rFonts w:ascii="Arial" w:hAnsi="Arial" w:cs="Arial"/>
              </w:rPr>
            </w:pPr>
            <w:r>
              <w:rPr>
                <w:rFonts w:ascii="Arial" w:hAnsi="Arial" w:cs="Arial"/>
              </w:rPr>
              <w:t>0.64</w:t>
            </w:r>
          </w:p>
        </w:tc>
        <w:tc>
          <w:tcPr>
            <w:tcW w:w="900" w:type="dxa"/>
            <w:shd w:val="clear" w:color="auto" w:fill="FDE9D9" w:themeFill="accent6" w:themeFillTint="33"/>
            <w:vAlign w:val="center"/>
          </w:tcPr>
          <w:p w:rsidR="009F221A" w:rsidRDefault="00FE45AA" w:rsidP="00766B1C">
            <w:pPr>
              <w:jc w:val="right"/>
              <w:rPr>
                <w:rFonts w:ascii="Arial" w:hAnsi="Arial" w:cs="Arial"/>
              </w:rPr>
            </w:pPr>
            <w:r>
              <w:rPr>
                <w:rFonts w:ascii="Arial" w:hAnsi="Arial" w:cs="Arial"/>
              </w:rPr>
              <w:t>0.83</w:t>
            </w:r>
          </w:p>
        </w:tc>
        <w:tc>
          <w:tcPr>
            <w:tcW w:w="871" w:type="dxa"/>
            <w:vAlign w:val="center"/>
          </w:tcPr>
          <w:p w:rsidR="009F221A" w:rsidRDefault="009F221A" w:rsidP="00766B1C">
            <w:pPr>
              <w:jc w:val="right"/>
              <w:rPr>
                <w:rFonts w:ascii="Arial" w:hAnsi="Arial" w:cs="Arial"/>
              </w:rPr>
            </w:pPr>
            <w:proofErr w:type="spellStart"/>
            <w:r>
              <w:rPr>
                <w:rFonts w:ascii="Arial" w:hAnsi="Arial" w:cs="Arial"/>
              </w:rPr>
              <w:t>mrad</w:t>
            </w:r>
            <w:proofErr w:type="spellEnd"/>
          </w:p>
        </w:tc>
      </w:tr>
      <w:tr w:rsidR="00766B1C" w:rsidRPr="008D66E2" w:rsidTr="0084652F">
        <w:trPr>
          <w:trHeight w:val="396"/>
        </w:trPr>
        <w:tc>
          <w:tcPr>
            <w:tcW w:w="4068" w:type="dxa"/>
          </w:tcPr>
          <w:p w:rsidR="00766B1C" w:rsidRPr="008D66E2" w:rsidRDefault="00766B1C" w:rsidP="00766B1C">
            <w:pPr>
              <w:rPr>
                <w:rFonts w:ascii="Arial" w:hAnsi="Arial" w:cs="Arial"/>
              </w:rPr>
            </w:pPr>
            <w:r w:rsidRPr="008D66E2">
              <w:rPr>
                <w:rFonts w:ascii="Arial" w:hAnsi="Arial" w:cs="Arial"/>
              </w:rPr>
              <w:t>Round-trip</w:t>
            </w:r>
            <w:r>
              <w:rPr>
                <w:rFonts w:ascii="Arial" w:hAnsi="Arial" w:cs="Arial"/>
              </w:rPr>
              <w:t xml:space="preserve"> Gouy phase</w:t>
            </w:r>
          </w:p>
        </w:tc>
        <w:tc>
          <w:tcPr>
            <w:tcW w:w="1035" w:type="dxa"/>
            <w:vAlign w:val="center"/>
          </w:tcPr>
          <w:p w:rsidR="00766B1C" w:rsidRPr="008D66E2" w:rsidRDefault="00766B1C" w:rsidP="00766B1C">
            <w:pPr>
              <w:jc w:val="right"/>
              <w:rPr>
                <w:rFonts w:ascii="Arial" w:hAnsi="Arial" w:cs="Arial"/>
              </w:rPr>
            </w:pPr>
            <w:r>
              <w:rPr>
                <w:rFonts w:ascii="Arial" w:hAnsi="Arial" w:cs="Arial"/>
              </w:rPr>
              <w:t>55.3</w:t>
            </w:r>
          </w:p>
        </w:tc>
        <w:tc>
          <w:tcPr>
            <w:tcW w:w="1035" w:type="dxa"/>
            <w:vAlign w:val="center"/>
          </w:tcPr>
          <w:p w:rsidR="00766B1C" w:rsidRPr="008D66E2" w:rsidRDefault="00766B1C" w:rsidP="00766B1C">
            <w:pPr>
              <w:jc w:val="right"/>
              <w:rPr>
                <w:rFonts w:ascii="Arial" w:hAnsi="Arial" w:cs="Arial"/>
              </w:rPr>
            </w:pPr>
            <w:r>
              <w:rPr>
                <w:rFonts w:ascii="Arial" w:hAnsi="Arial" w:cs="Arial"/>
              </w:rPr>
              <w:t>100</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55.3</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55.3</w:t>
            </w:r>
          </w:p>
        </w:tc>
        <w:tc>
          <w:tcPr>
            <w:tcW w:w="900" w:type="dxa"/>
            <w:shd w:val="clear" w:color="auto" w:fill="FDE9D9" w:themeFill="accent6" w:themeFillTint="33"/>
            <w:vAlign w:val="center"/>
          </w:tcPr>
          <w:p w:rsidR="00766B1C" w:rsidRPr="008D66E2" w:rsidRDefault="00766B1C" w:rsidP="00766B1C">
            <w:pPr>
              <w:jc w:val="right"/>
              <w:rPr>
                <w:rFonts w:ascii="Arial" w:hAnsi="Arial" w:cs="Arial"/>
              </w:rPr>
            </w:pPr>
            <w:r>
              <w:rPr>
                <w:rFonts w:ascii="Arial" w:hAnsi="Arial" w:cs="Arial"/>
              </w:rPr>
              <w:t>100</w:t>
            </w:r>
          </w:p>
        </w:tc>
        <w:tc>
          <w:tcPr>
            <w:tcW w:w="871" w:type="dxa"/>
            <w:vAlign w:val="center"/>
          </w:tcPr>
          <w:p w:rsidR="00766B1C" w:rsidRPr="008D66E2" w:rsidRDefault="00766B1C" w:rsidP="00766B1C">
            <w:pPr>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3B5862">
            <w:pPr>
              <w:rPr>
                <w:rFonts w:ascii="Arial" w:hAnsi="Arial" w:cs="Arial"/>
              </w:rPr>
            </w:pPr>
            <w:r w:rsidRPr="00D07A01">
              <w:rPr>
                <w:rFonts w:ascii="Arial" w:hAnsi="Arial" w:cs="Arial"/>
              </w:rPr>
              <w:t>TEM01 attenuation</w:t>
            </w:r>
            <w:r>
              <w:rPr>
                <w:rFonts w:ascii="Arial" w:hAnsi="Arial" w:cs="Arial"/>
              </w:rPr>
              <w:t xml:space="preserve"> (parallel to pol.)</w:t>
            </w:r>
          </w:p>
        </w:tc>
        <w:tc>
          <w:tcPr>
            <w:tcW w:w="1035" w:type="dxa"/>
            <w:vAlign w:val="center"/>
          </w:tcPr>
          <w:p w:rsidR="003B5862" w:rsidRPr="008D66E2" w:rsidRDefault="003B5862" w:rsidP="003B5862">
            <w:pPr>
              <w:jc w:val="right"/>
              <w:rPr>
                <w:rFonts w:ascii="Arial" w:hAnsi="Arial" w:cs="Arial"/>
              </w:rPr>
            </w:pPr>
            <w:r>
              <w:rPr>
                <w:rFonts w:ascii="Arial" w:hAnsi="Arial" w:cs="Arial"/>
              </w:rPr>
              <w:t>0.9</w:t>
            </w:r>
          </w:p>
        </w:tc>
        <w:tc>
          <w:tcPr>
            <w:tcW w:w="1035" w:type="dxa"/>
            <w:vAlign w:val="center"/>
          </w:tcPr>
          <w:p w:rsidR="003B5862" w:rsidRPr="008D66E2" w:rsidRDefault="003B5862" w:rsidP="003B5862">
            <w:pPr>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2.7</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2.7</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2.0</w:t>
            </w:r>
          </w:p>
        </w:tc>
        <w:tc>
          <w:tcPr>
            <w:tcW w:w="871" w:type="dxa"/>
            <w:vAlign w:val="center"/>
          </w:tcPr>
          <w:p w:rsidR="003B5862" w:rsidRPr="008D66E2" w:rsidRDefault="003B5862" w:rsidP="003B5862">
            <w:pPr>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3B5862">
            <w:pPr>
              <w:rPr>
                <w:rFonts w:ascii="Arial" w:hAnsi="Arial" w:cs="Arial"/>
              </w:rPr>
            </w:pPr>
            <w:r w:rsidRPr="00D07A01">
              <w:rPr>
                <w:rFonts w:ascii="Arial" w:hAnsi="Arial" w:cs="Arial"/>
              </w:rPr>
              <w:t>TEM1</w:t>
            </w:r>
            <w:r>
              <w:rPr>
                <w:rFonts w:ascii="Arial" w:hAnsi="Arial" w:cs="Arial"/>
              </w:rPr>
              <w:t>0</w:t>
            </w:r>
            <w:r w:rsidRPr="00D07A01">
              <w:rPr>
                <w:rFonts w:ascii="Arial" w:hAnsi="Arial" w:cs="Arial"/>
              </w:rPr>
              <w:t xml:space="preserve"> attenuation</w:t>
            </w:r>
            <w:r>
              <w:rPr>
                <w:rFonts w:ascii="Arial" w:hAnsi="Arial" w:cs="Arial"/>
              </w:rPr>
              <w:t xml:space="preserve"> (perp. to pol.)</w:t>
            </w:r>
          </w:p>
        </w:tc>
        <w:tc>
          <w:tcPr>
            <w:tcW w:w="1035" w:type="dxa"/>
            <w:vAlign w:val="center"/>
          </w:tcPr>
          <w:p w:rsidR="003B5862" w:rsidRPr="008D66E2" w:rsidRDefault="003B5862" w:rsidP="003B5862">
            <w:pPr>
              <w:jc w:val="right"/>
              <w:rPr>
                <w:rFonts w:ascii="Arial" w:hAnsi="Arial" w:cs="Arial"/>
              </w:rPr>
            </w:pPr>
            <w:r>
              <w:rPr>
                <w:rFonts w:ascii="Arial" w:hAnsi="Arial" w:cs="Arial"/>
              </w:rPr>
              <w:t>0.5</w:t>
            </w:r>
          </w:p>
        </w:tc>
        <w:tc>
          <w:tcPr>
            <w:tcW w:w="1035" w:type="dxa"/>
            <w:vAlign w:val="center"/>
          </w:tcPr>
          <w:p w:rsidR="003B5862" w:rsidRPr="008D66E2" w:rsidRDefault="003B5862" w:rsidP="003B5862">
            <w:pPr>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1.5</w:t>
            </w:r>
          </w:p>
        </w:tc>
        <w:tc>
          <w:tcPr>
            <w:tcW w:w="871" w:type="dxa"/>
            <w:vAlign w:val="center"/>
          </w:tcPr>
          <w:p w:rsidR="003B5862" w:rsidRPr="008D66E2" w:rsidRDefault="003B5862" w:rsidP="003B5862">
            <w:pPr>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3B5862">
            <w:pPr>
              <w:rPr>
                <w:rFonts w:ascii="Arial" w:hAnsi="Arial" w:cs="Arial"/>
              </w:rPr>
            </w:pPr>
            <w:r>
              <w:rPr>
                <w:rFonts w:ascii="Arial" w:hAnsi="Arial" w:cs="Arial"/>
              </w:rPr>
              <w:t>TEM20</w:t>
            </w:r>
            <w:r w:rsidRPr="00D07A01">
              <w:rPr>
                <w:rFonts w:ascii="Arial" w:hAnsi="Arial" w:cs="Arial"/>
              </w:rPr>
              <w:t xml:space="preserve"> attenuation</w:t>
            </w:r>
          </w:p>
        </w:tc>
        <w:tc>
          <w:tcPr>
            <w:tcW w:w="1035" w:type="dxa"/>
            <w:vAlign w:val="center"/>
          </w:tcPr>
          <w:p w:rsidR="003B5862" w:rsidRPr="008D66E2" w:rsidRDefault="003B5862" w:rsidP="003B5862">
            <w:pPr>
              <w:jc w:val="right"/>
              <w:rPr>
                <w:rFonts w:ascii="Arial" w:hAnsi="Arial" w:cs="Arial"/>
              </w:rPr>
            </w:pPr>
            <w:r>
              <w:rPr>
                <w:rFonts w:ascii="Arial" w:hAnsi="Arial" w:cs="Arial"/>
              </w:rPr>
              <w:t>0.5</w:t>
            </w:r>
          </w:p>
        </w:tc>
        <w:tc>
          <w:tcPr>
            <w:tcW w:w="1035" w:type="dxa"/>
            <w:vAlign w:val="center"/>
          </w:tcPr>
          <w:p w:rsidR="003B5862" w:rsidRPr="008D66E2" w:rsidRDefault="003B5862" w:rsidP="003B5862">
            <w:pPr>
              <w:jc w:val="right"/>
              <w:rPr>
                <w:rFonts w:ascii="Arial" w:hAnsi="Arial" w:cs="Arial"/>
              </w:rPr>
            </w:pPr>
            <w:r>
              <w:rPr>
                <w:rFonts w:ascii="Arial" w:hAnsi="Arial" w:cs="Arial"/>
              </w:rPr>
              <w:t>1.3</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1.4</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1.4</w:t>
            </w:r>
          </w:p>
        </w:tc>
        <w:tc>
          <w:tcPr>
            <w:tcW w:w="900" w:type="dxa"/>
            <w:shd w:val="clear" w:color="auto" w:fill="FDE9D9" w:themeFill="accent6" w:themeFillTint="33"/>
            <w:vAlign w:val="center"/>
          </w:tcPr>
          <w:p w:rsidR="003B5862" w:rsidRPr="008D66E2" w:rsidRDefault="003B5862" w:rsidP="003B5862">
            <w:pPr>
              <w:jc w:val="right"/>
              <w:rPr>
                <w:rFonts w:ascii="Arial" w:hAnsi="Arial" w:cs="Arial"/>
              </w:rPr>
            </w:pPr>
            <w:r>
              <w:rPr>
                <w:rFonts w:ascii="Arial" w:hAnsi="Arial" w:cs="Arial"/>
              </w:rPr>
              <w:t>1.3</w:t>
            </w:r>
          </w:p>
        </w:tc>
        <w:tc>
          <w:tcPr>
            <w:tcW w:w="871" w:type="dxa"/>
            <w:vAlign w:val="center"/>
          </w:tcPr>
          <w:p w:rsidR="003B5862" w:rsidRPr="008D66E2" w:rsidRDefault="003B5862" w:rsidP="003B5862">
            <w:pPr>
              <w:jc w:val="right"/>
              <w:rPr>
                <w:rFonts w:ascii="Arial" w:hAnsi="Arial" w:cs="Arial"/>
              </w:rPr>
            </w:pPr>
            <w:r>
              <w:rPr>
                <w:rFonts w:ascii="Arial" w:hAnsi="Arial" w:cs="Arial"/>
              </w:rPr>
              <w:t>%</w:t>
            </w:r>
          </w:p>
        </w:tc>
      </w:tr>
    </w:tbl>
    <w:p w:rsidR="005F48B2" w:rsidRDefault="00B709E5">
      <w:r>
        <w:t xml:space="preserve">If the cavity </w:t>
      </w:r>
      <w:r w:rsidR="00E46931">
        <w:t xml:space="preserve">round-trip </w:t>
      </w:r>
      <w:r>
        <w:t xml:space="preserve">length is set to 1 m, the new cavity will take a footprint very </w:t>
      </w:r>
      <w:r w:rsidR="00E46601">
        <w:t>like</w:t>
      </w:r>
      <w:r>
        <w:t xml:space="preserve"> the Advanced LIGO PMC</w:t>
      </w:r>
      <w:r w:rsidR="00E46601">
        <w:t>,</w:t>
      </w:r>
      <w:r>
        <w:t xml:space="preserve"> which uses a bow-tie configuration to achieve a round-trip length of roughly 2 m.</w:t>
      </w:r>
    </w:p>
    <w:p w:rsidR="00860ED9" w:rsidRDefault="001F1A40" w:rsidP="001F1A40">
      <w:pPr>
        <w:pStyle w:val="Heading2"/>
      </w:pPr>
      <w:r>
        <w:t>Beam Propagation</w:t>
      </w:r>
    </w:p>
    <w:p w:rsidR="001F1A40" w:rsidRPr="001F1A40" w:rsidRDefault="001F1A40" w:rsidP="001F1A40"/>
    <w:sectPr w:rsidR="001F1A40" w:rsidRPr="001F1A40">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65" w:rsidRDefault="00CC6965">
      <w:r>
        <w:separator/>
      </w:r>
    </w:p>
  </w:endnote>
  <w:endnote w:type="continuationSeparator" w:id="0">
    <w:p w:rsidR="00CC6965" w:rsidRDefault="00C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C266C">
      <w:rPr>
        <w:rStyle w:val="PageNumber"/>
        <w:noProof/>
      </w:rPr>
      <w:t>4</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65" w:rsidRDefault="00CC6965">
      <w:r>
        <w:separator/>
      </w:r>
    </w:p>
  </w:footnote>
  <w:footnote w:type="continuationSeparator" w:id="0">
    <w:p w:rsidR="00CC6965" w:rsidRDefault="00CC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865DA7">
    <w:pPr>
      <w:pStyle w:val="Header"/>
      <w:tabs>
        <w:tab w:val="clear" w:pos="4320"/>
        <w:tab w:val="center" w:pos="4680"/>
      </w:tabs>
      <w:jc w:val="left"/>
      <w:rPr>
        <w:sz w:val="20"/>
      </w:rPr>
    </w:pPr>
    <w:r w:rsidRPr="00E31863">
      <w:rPr>
        <w:bCs/>
        <w:iCs/>
        <w:sz w:val="20"/>
      </w:rPr>
      <w:t xml:space="preserve">Advanced </w:t>
    </w:r>
    <w:r w:rsidR="005F48B2" w:rsidRPr="00E31863">
      <w:rPr>
        <w:bCs/>
        <w:iCs/>
        <w:sz w:val="20"/>
      </w:rPr>
      <w:t>LIGO</w:t>
    </w:r>
    <w:r w:rsidR="008E7496">
      <w:rPr>
        <w:sz w:val="20"/>
      </w:rPr>
      <w:tab/>
      <w:t>LIGO-</w:t>
    </w:r>
    <w:r w:rsidR="00DC7EC7" w:rsidRPr="00DC7EC7">
      <w:rPr>
        <w:sz w:val="20"/>
      </w:rPr>
      <w:t>T1600595</w:t>
    </w:r>
    <w:r w:rsidR="00081FCE">
      <w:rPr>
        <w:sz w:val="20"/>
      </w:rPr>
      <w:t>-v2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Header"/>
      <w:jc w:val="right"/>
    </w:pPr>
    <w:r>
      <w:rPr>
        <w:b/>
        <w:caps/>
      </w:rPr>
      <w:t>Laser Interferometer Gravitational Wave Observatory</w:t>
    </w:r>
    <w:r>
      <w:rPr>
        <w:noProof/>
        <w:sz w:val="20"/>
      </w:rPr>
      <w:t xml:space="preserve"> </w:t>
    </w:r>
    <w:r w:rsidR="00CC6965">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452451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726228C"/>
    <w:multiLevelType w:val="hybridMultilevel"/>
    <w:tmpl w:val="F93879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86853B6"/>
    <w:multiLevelType w:val="hybridMultilevel"/>
    <w:tmpl w:val="69CA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E0674"/>
    <w:multiLevelType w:val="hybridMultilevel"/>
    <w:tmpl w:val="6D10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FBA1301"/>
    <w:multiLevelType w:val="hybridMultilevel"/>
    <w:tmpl w:val="74CE7A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4321A1F"/>
    <w:multiLevelType w:val="hybridMultilevel"/>
    <w:tmpl w:val="A9D4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15:restartNumberingAfterBreak="0">
    <w:nsid w:val="6F9C06DF"/>
    <w:multiLevelType w:val="hybridMultilevel"/>
    <w:tmpl w:val="85128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4"/>
  </w:num>
  <w:num w:numId="7">
    <w:abstractNumId w:val="6"/>
  </w:num>
  <w:num w:numId="8">
    <w:abstractNumId w:val="13"/>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9"/>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18"/>
  </w:num>
  <w:num w:numId="26">
    <w:abstractNumId w:val="9"/>
  </w:num>
  <w:num w:numId="27">
    <w:abstractNumId w:val="8"/>
  </w:num>
  <w:num w:numId="28">
    <w:abstractNumId w:val="2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234"/>
    <w:rsid w:val="00032927"/>
    <w:rsid w:val="000618EA"/>
    <w:rsid w:val="00064FDF"/>
    <w:rsid w:val="00073421"/>
    <w:rsid w:val="00081FCE"/>
    <w:rsid w:val="00096D15"/>
    <w:rsid w:val="000A3829"/>
    <w:rsid w:val="000B072C"/>
    <w:rsid w:val="000F30C6"/>
    <w:rsid w:val="00117F8C"/>
    <w:rsid w:val="00124BAA"/>
    <w:rsid w:val="00154B5F"/>
    <w:rsid w:val="001752DD"/>
    <w:rsid w:val="00184B3D"/>
    <w:rsid w:val="00191A82"/>
    <w:rsid w:val="001A7C8A"/>
    <w:rsid w:val="001B402D"/>
    <w:rsid w:val="001C0FED"/>
    <w:rsid w:val="001D2DDB"/>
    <w:rsid w:val="001D4138"/>
    <w:rsid w:val="001F1A40"/>
    <w:rsid w:val="001F4022"/>
    <w:rsid w:val="00206FC6"/>
    <w:rsid w:val="00212331"/>
    <w:rsid w:val="00266E0A"/>
    <w:rsid w:val="00292D7A"/>
    <w:rsid w:val="002A0633"/>
    <w:rsid w:val="002A4EC7"/>
    <w:rsid w:val="002B5553"/>
    <w:rsid w:val="002B55BA"/>
    <w:rsid w:val="002B735C"/>
    <w:rsid w:val="002C0C0E"/>
    <w:rsid w:val="002C25C3"/>
    <w:rsid w:val="002C27C9"/>
    <w:rsid w:val="002C5A7A"/>
    <w:rsid w:val="002D3A30"/>
    <w:rsid w:val="002F35FE"/>
    <w:rsid w:val="002F4ADE"/>
    <w:rsid w:val="00310D38"/>
    <w:rsid w:val="00313073"/>
    <w:rsid w:val="003448D0"/>
    <w:rsid w:val="00344A6D"/>
    <w:rsid w:val="003460D3"/>
    <w:rsid w:val="003520FE"/>
    <w:rsid w:val="00355452"/>
    <w:rsid w:val="0035579E"/>
    <w:rsid w:val="0036226E"/>
    <w:rsid w:val="00364745"/>
    <w:rsid w:val="00380C84"/>
    <w:rsid w:val="00396FE8"/>
    <w:rsid w:val="003B229A"/>
    <w:rsid w:val="003B5862"/>
    <w:rsid w:val="003C6039"/>
    <w:rsid w:val="003E1BB5"/>
    <w:rsid w:val="003F15FE"/>
    <w:rsid w:val="004010EF"/>
    <w:rsid w:val="00401681"/>
    <w:rsid w:val="00402FC1"/>
    <w:rsid w:val="0041156A"/>
    <w:rsid w:val="00492B7C"/>
    <w:rsid w:val="00497745"/>
    <w:rsid w:val="004A35C5"/>
    <w:rsid w:val="004E1C8F"/>
    <w:rsid w:val="004E3A46"/>
    <w:rsid w:val="00510B57"/>
    <w:rsid w:val="00517984"/>
    <w:rsid w:val="005318A6"/>
    <w:rsid w:val="0054334E"/>
    <w:rsid w:val="0055006B"/>
    <w:rsid w:val="005552C1"/>
    <w:rsid w:val="00561CA1"/>
    <w:rsid w:val="00563A05"/>
    <w:rsid w:val="005829A5"/>
    <w:rsid w:val="00593CFD"/>
    <w:rsid w:val="005A6148"/>
    <w:rsid w:val="005B1F26"/>
    <w:rsid w:val="005C32BE"/>
    <w:rsid w:val="005D1678"/>
    <w:rsid w:val="005E13FE"/>
    <w:rsid w:val="005F48B2"/>
    <w:rsid w:val="005F4E75"/>
    <w:rsid w:val="0060018A"/>
    <w:rsid w:val="00622026"/>
    <w:rsid w:val="00623F4B"/>
    <w:rsid w:val="00632428"/>
    <w:rsid w:val="00647648"/>
    <w:rsid w:val="006542CD"/>
    <w:rsid w:val="00664659"/>
    <w:rsid w:val="00667C22"/>
    <w:rsid w:val="00670A93"/>
    <w:rsid w:val="00691DE3"/>
    <w:rsid w:val="006A67CF"/>
    <w:rsid w:val="006B6449"/>
    <w:rsid w:val="006C266C"/>
    <w:rsid w:val="006D56D2"/>
    <w:rsid w:val="006E2E68"/>
    <w:rsid w:val="006E52EB"/>
    <w:rsid w:val="00705862"/>
    <w:rsid w:val="007148A3"/>
    <w:rsid w:val="00726ADA"/>
    <w:rsid w:val="00766B1C"/>
    <w:rsid w:val="00771BED"/>
    <w:rsid w:val="00776291"/>
    <w:rsid w:val="0078145B"/>
    <w:rsid w:val="00785590"/>
    <w:rsid w:val="007B1548"/>
    <w:rsid w:val="00804A9A"/>
    <w:rsid w:val="008146F3"/>
    <w:rsid w:val="0083053F"/>
    <w:rsid w:val="008308E2"/>
    <w:rsid w:val="00832753"/>
    <w:rsid w:val="0084652F"/>
    <w:rsid w:val="00860ED9"/>
    <w:rsid w:val="00865DA7"/>
    <w:rsid w:val="00870B50"/>
    <w:rsid w:val="00883B81"/>
    <w:rsid w:val="00894DEB"/>
    <w:rsid w:val="008C6DC9"/>
    <w:rsid w:val="008D0842"/>
    <w:rsid w:val="008D419E"/>
    <w:rsid w:val="008D5228"/>
    <w:rsid w:val="008D66E2"/>
    <w:rsid w:val="008E22B3"/>
    <w:rsid w:val="008E50C5"/>
    <w:rsid w:val="008E7496"/>
    <w:rsid w:val="008F2075"/>
    <w:rsid w:val="009022BF"/>
    <w:rsid w:val="0090318B"/>
    <w:rsid w:val="0091731D"/>
    <w:rsid w:val="00927A1A"/>
    <w:rsid w:val="0094294D"/>
    <w:rsid w:val="009501E9"/>
    <w:rsid w:val="00956773"/>
    <w:rsid w:val="00974D4B"/>
    <w:rsid w:val="00984B26"/>
    <w:rsid w:val="009943ED"/>
    <w:rsid w:val="00995174"/>
    <w:rsid w:val="009C30BF"/>
    <w:rsid w:val="009D2F5F"/>
    <w:rsid w:val="009D562D"/>
    <w:rsid w:val="009E0FC9"/>
    <w:rsid w:val="009F221A"/>
    <w:rsid w:val="00A0395F"/>
    <w:rsid w:val="00A07548"/>
    <w:rsid w:val="00A21339"/>
    <w:rsid w:val="00A47B7E"/>
    <w:rsid w:val="00A52EB5"/>
    <w:rsid w:val="00A6651D"/>
    <w:rsid w:val="00A67823"/>
    <w:rsid w:val="00A7723A"/>
    <w:rsid w:val="00A857F5"/>
    <w:rsid w:val="00A95193"/>
    <w:rsid w:val="00AC0486"/>
    <w:rsid w:val="00AC4D9D"/>
    <w:rsid w:val="00AC6BF6"/>
    <w:rsid w:val="00AC7498"/>
    <w:rsid w:val="00AE6831"/>
    <w:rsid w:val="00B238AB"/>
    <w:rsid w:val="00B25764"/>
    <w:rsid w:val="00B47EF1"/>
    <w:rsid w:val="00B709E5"/>
    <w:rsid w:val="00B77DC9"/>
    <w:rsid w:val="00B91857"/>
    <w:rsid w:val="00B95A03"/>
    <w:rsid w:val="00B97EE7"/>
    <w:rsid w:val="00BC6E3F"/>
    <w:rsid w:val="00C02E86"/>
    <w:rsid w:val="00C3700B"/>
    <w:rsid w:val="00C471D3"/>
    <w:rsid w:val="00C558C8"/>
    <w:rsid w:val="00C5668C"/>
    <w:rsid w:val="00C66AB3"/>
    <w:rsid w:val="00C75081"/>
    <w:rsid w:val="00C76DDE"/>
    <w:rsid w:val="00C81516"/>
    <w:rsid w:val="00C962F7"/>
    <w:rsid w:val="00CB16EF"/>
    <w:rsid w:val="00CB4B2E"/>
    <w:rsid w:val="00CC3B9F"/>
    <w:rsid w:val="00CC6965"/>
    <w:rsid w:val="00CE0256"/>
    <w:rsid w:val="00CF41DC"/>
    <w:rsid w:val="00D07A01"/>
    <w:rsid w:val="00D14AF0"/>
    <w:rsid w:val="00D16E6C"/>
    <w:rsid w:val="00D21CFF"/>
    <w:rsid w:val="00D2216E"/>
    <w:rsid w:val="00D43818"/>
    <w:rsid w:val="00D4675A"/>
    <w:rsid w:val="00D516E9"/>
    <w:rsid w:val="00D80F7E"/>
    <w:rsid w:val="00DA7457"/>
    <w:rsid w:val="00DA7F05"/>
    <w:rsid w:val="00DB64B9"/>
    <w:rsid w:val="00DC00D8"/>
    <w:rsid w:val="00DC6085"/>
    <w:rsid w:val="00DC7EC7"/>
    <w:rsid w:val="00E17DC3"/>
    <w:rsid w:val="00E20315"/>
    <w:rsid w:val="00E271E7"/>
    <w:rsid w:val="00E31863"/>
    <w:rsid w:val="00E454E9"/>
    <w:rsid w:val="00E46601"/>
    <w:rsid w:val="00E46931"/>
    <w:rsid w:val="00E66298"/>
    <w:rsid w:val="00E70739"/>
    <w:rsid w:val="00E7162F"/>
    <w:rsid w:val="00E96242"/>
    <w:rsid w:val="00EA43DD"/>
    <w:rsid w:val="00F10E52"/>
    <w:rsid w:val="00F27523"/>
    <w:rsid w:val="00F31668"/>
    <w:rsid w:val="00F422E5"/>
    <w:rsid w:val="00F45671"/>
    <w:rsid w:val="00F45738"/>
    <w:rsid w:val="00F52835"/>
    <w:rsid w:val="00F5292B"/>
    <w:rsid w:val="00F601D3"/>
    <w:rsid w:val="00F62649"/>
    <w:rsid w:val="00F65452"/>
    <w:rsid w:val="00F71C7B"/>
    <w:rsid w:val="00F86827"/>
    <w:rsid w:val="00FB3DAE"/>
    <w:rsid w:val="00FB4F29"/>
    <w:rsid w:val="00FC27BF"/>
    <w:rsid w:val="00FD00F6"/>
    <w:rsid w:val="00FD7FA8"/>
    <w:rsid w:val="00FE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D009571"/>
  <w15:docId w15:val="{E5C1FDC7-3688-444E-8ADF-5606751E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laceholderText">
    <w:name w:val="Placeholder Text"/>
    <w:basedOn w:val="DefaultParagraphFont"/>
    <w:uiPriority w:val="99"/>
    <w:semiHidden/>
    <w:rsid w:val="00670A93"/>
    <w:rPr>
      <w:color w:val="808080"/>
    </w:rPr>
  </w:style>
  <w:style w:type="table" w:styleId="TableGrid">
    <w:name w:val="Table Grid"/>
    <w:basedOn w:val="TableNormal"/>
    <w:rsid w:val="00DB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75081"/>
    <w:rPr>
      <w:color w:val="800080" w:themeColor="followedHyperlink"/>
      <w:u w:val="single"/>
    </w:rPr>
  </w:style>
  <w:style w:type="paragraph" w:styleId="ListParagraph">
    <w:name w:val="List Paragraph"/>
    <w:basedOn w:val="Normal"/>
    <w:uiPriority w:val="34"/>
    <w:qFormat/>
    <w:rsid w:val="0006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56805">
      <w:bodyDiv w:val="1"/>
      <w:marLeft w:val="0"/>
      <w:marRight w:val="0"/>
      <w:marTop w:val="0"/>
      <w:marBottom w:val="0"/>
      <w:divBdr>
        <w:top w:val="none" w:sz="0" w:space="0" w:color="auto"/>
        <w:left w:val="none" w:sz="0" w:space="0" w:color="auto"/>
        <w:bottom w:val="none" w:sz="0" w:space="0" w:color="auto"/>
        <w:right w:val="none" w:sz="0" w:space="0" w:color="auto"/>
      </w:divBdr>
      <w:divsChild>
        <w:div w:id="60563034">
          <w:marLeft w:val="0"/>
          <w:marRight w:val="0"/>
          <w:marTop w:val="0"/>
          <w:marBottom w:val="0"/>
          <w:divBdr>
            <w:top w:val="none" w:sz="0" w:space="0" w:color="auto"/>
            <w:left w:val="none" w:sz="0" w:space="0" w:color="auto"/>
            <w:bottom w:val="none" w:sz="0" w:space="0" w:color="auto"/>
            <w:right w:val="none" w:sz="0" w:space="0" w:color="auto"/>
          </w:divBdr>
          <w:divsChild>
            <w:div w:id="1836071523">
              <w:marLeft w:val="0"/>
              <w:marRight w:val="0"/>
              <w:marTop w:val="0"/>
              <w:marBottom w:val="0"/>
              <w:divBdr>
                <w:top w:val="none" w:sz="0" w:space="0" w:color="auto"/>
                <w:left w:val="none" w:sz="0" w:space="0" w:color="auto"/>
                <w:bottom w:val="none" w:sz="0" w:space="0" w:color="auto"/>
                <w:right w:val="none" w:sz="0" w:space="0" w:color="auto"/>
              </w:divBdr>
              <w:divsChild>
                <w:div w:id="1199077353">
                  <w:marLeft w:val="0"/>
                  <w:marRight w:val="0"/>
                  <w:marTop w:val="0"/>
                  <w:marBottom w:val="0"/>
                  <w:divBdr>
                    <w:top w:val="none" w:sz="0" w:space="0" w:color="auto"/>
                    <w:left w:val="none" w:sz="0" w:space="0" w:color="auto"/>
                    <w:bottom w:val="none" w:sz="0" w:space="0" w:color="auto"/>
                    <w:right w:val="none" w:sz="0" w:space="0" w:color="auto"/>
                  </w:divBdr>
                </w:div>
                <w:div w:id="1199660235">
                  <w:marLeft w:val="0"/>
                  <w:marRight w:val="0"/>
                  <w:marTop w:val="0"/>
                  <w:marBottom w:val="0"/>
                  <w:divBdr>
                    <w:top w:val="none" w:sz="0" w:space="0" w:color="auto"/>
                    <w:left w:val="none" w:sz="0" w:space="0" w:color="auto"/>
                    <w:bottom w:val="none" w:sz="0" w:space="0" w:color="auto"/>
                    <w:right w:val="none" w:sz="0" w:space="0" w:color="auto"/>
                  </w:divBdr>
                </w:div>
                <w:div w:id="19605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09001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cc.ligo.org/LIGO-T0900386" TargetMode="External"/><Relationship Id="rId4" Type="http://schemas.openxmlformats.org/officeDocument/2006/relationships/settings" Target="settings.xml"/><Relationship Id="rId9" Type="http://schemas.openxmlformats.org/officeDocument/2006/relationships/hyperlink" Target="https://dcc.ligo.org/LIGO-P140016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7827-E9DA-4933-9B40-BA7DD24E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Daniel Sigg</dc:creator>
  <cp:lastModifiedBy>Daniel Sigg</cp:lastModifiedBy>
  <cp:revision>104</cp:revision>
  <cp:lastPrinted>2000-07-19T02:21:00Z</cp:lastPrinted>
  <dcterms:created xsi:type="dcterms:W3CDTF">2017-01-05T17:40:00Z</dcterms:created>
  <dcterms:modified xsi:type="dcterms:W3CDTF">2017-01-07T06:00:00Z</dcterms:modified>
</cp:coreProperties>
</file>