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7C" w:rsidRDefault="00B93C6A" w:rsidP="0063053D">
      <w:r>
        <w:rPr>
          <w:noProof/>
        </w:rPr>
        <mc:AlternateContent>
          <mc:Choice Requires="wps">
            <w:drawing>
              <wp:anchor distT="0" distB="0" distL="114300" distR="114300" simplePos="0" relativeHeight="251658240" behindDoc="0" locked="0" layoutInCell="1" allowOverlap="1" wp14:anchorId="67B15853" wp14:editId="199654CD">
                <wp:simplePos x="0" y="0"/>
                <wp:positionH relativeFrom="column">
                  <wp:posOffset>574040</wp:posOffset>
                </wp:positionH>
                <wp:positionV relativeFrom="paragraph">
                  <wp:posOffset>-996950</wp:posOffset>
                </wp:positionV>
                <wp:extent cx="4112260" cy="1117600"/>
                <wp:effectExtent l="0"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1117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891B61" w:rsidRPr="002A2ABB" w:rsidRDefault="00891B61" w:rsidP="008F53CC">
                            <w:pPr>
                              <w:jc w:val="center"/>
                              <w:rPr>
                                <w:b/>
                                <w:sz w:val="28"/>
                              </w:rPr>
                            </w:pPr>
                            <w:r w:rsidRPr="002A2ABB">
                              <w:rPr>
                                <w:b/>
                                <w:sz w:val="28"/>
                              </w:rPr>
                              <w:t>LIGO LABORATORY</w:t>
                            </w:r>
                          </w:p>
                          <w:p w:rsidR="00891B61" w:rsidRPr="002A2ABB" w:rsidRDefault="00891B61" w:rsidP="0063053D">
                            <w:pPr>
                              <w:rPr>
                                <w:sz w:val="20"/>
                              </w:rPr>
                            </w:pPr>
                          </w:p>
                          <w:p w:rsidR="00891B61" w:rsidRPr="002A2ABB" w:rsidRDefault="00891B61" w:rsidP="0063053D">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15853" id="_x0000_t202" coordsize="21600,21600" o:spt="202" path="m,l,21600r21600,l21600,xe">
                <v:stroke joinstyle="miter"/>
                <v:path gradientshapeok="t" o:connecttype="rect"/>
              </v:shapetype>
              <v:shape id="Text Box 3" o:spid="_x0000_s1026" type="#_x0000_t202" style="position:absolute;left:0;text-align:left;margin-left:45.2pt;margin-top:-78.5pt;width:323.8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" stroked="f">
                <v:textbox>
                  <w:txbxContent>
                    <w:p w:rsidR="00891B61" w:rsidRPr="002A2ABB" w:rsidRDefault="00891B61" w:rsidP="008F53CC">
                      <w:pPr>
                        <w:jc w:val="center"/>
                        <w:rPr>
                          <w:b/>
                          <w:sz w:val="28"/>
                        </w:rPr>
                      </w:pPr>
                      <w:r w:rsidRPr="002A2ABB">
                        <w:rPr>
                          <w:b/>
                          <w:sz w:val="28"/>
                        </w:rPr>
                        <w:t>LIGO LABORATORY</w:t>
                      </w:r>
                    </w:p>
                    <w:p w:rsidR="00891B61" w:rsidRPr="002A2ABB" w:rsidRDefault="00891B61" w:rsidP="0063053D">
                      <w:pPr>
                        <w:rPr>
                          <w:sz w:val="20"/>
                        </w:rPr>
                      </w:pPr>
                    </w:p>
                    <w:p w:rsidR="00891B61" w:rsidRPr="002A2ABB" w:rsidRDefault="00891B61" w:rsidP="0063053D">
                      <w:pPr>
                        <w:rPr>
                          <w:sz w:val="12"/>
                        </w:rPr>
                      </w:pPr>
                    </w:p>
                  </w:txbxContent>
                </v:textbox>
              </v:shape>
            </w:pict>
          </mc:Fallback>
        </mc:AlternateContent>
      </w:r>
      <w:r w:rsidR="002356EF">
        <w:rPr>
          <w:noProof/>
        </w:rPr>
        <w:pict w14:anchorId="373FF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1in;width:111.6pt;height:81.5pt;z-index:251657216;mso-position-horizontal-relative:text;mso-position-vertical-relative:text" o:allowincell="f" fillcolor="#d49fff" strokecolor="#114ffb" strokeweight="1pt">
            <v:stroke startarrowwidth="narrow" startarrowlength="short" endarrowwidth="narrow" endarrowlength="short"/>
            <v:imagedata r:id="rId8" o:title=""/>
            <v:shadow color="#cecece"/>
            <w10:wrap type="topAndBottom"/>
          </v:shape>
        </w:pict>
      </w:r>
    </w:p>
    <w:tbl>
      <w:tblPr>
        <w:tblStyle w:val="TableGrid"/>
        <w:tblW w:w="0" w:type="auto"/>
        <w:tblLook w:val="04A0" w:firstRow="1" w:lastRow="0" w:firstColumn="1" w:lastColumn="0" w:noHBand="0" w:noVBand="1"/>
      </w:tblPr>
      <w:tblGrid>
        <w:gridCol w:w="1098"/>
        <w:gridCol w:w="8460"/>
      </w:tblGrid>
      <w:tr w:rsidR="005477F4" w:rsidTr="001572D2">
        <w:tc>
          <w:tcPr>
            <w:tcW w:w="1098" w:type="dxa"/>
            <w:tcMar>
              <w:top w:w="58" w:type="dxa"/>
              <w:bottom w:w="58" w:type="dxa"/>
            </w:tcMar>
          </w:tcPr>
          <w:p w:rsidR="005477F4" w:rsidRDefault="005477F4" w:rsidP="009D2917">
            <w:pPr>
              <w:rPr>
                <w:rFonts w:cs="Arial"/>
              </w:rPr>
            </w:pPr>
            <w:r>
              <w:rPr>
                <w:rFonts w:cs="Arial"/>
              </w:rPr>
              <w:t>Subject</w:t>
            </w:r>
          </w:p>
        </w:tc>
        <w:tc>
          <w:tcPr>
            <w:tcW w:w="8460" w:type="dxa"/>
            <w:tcMar>
              <w:top w:w="58" w:type="dxa"/>
              <w:bottom w:w="58" w:type="dxa"/>
            </w:tcMar>
          </w:tcPr>
          <w:p w:rsidR="005477F4" w:rsidRDefault="001572D2" w:rsidP="009D2917">
            <w:pPr>
              <w:rPr>
                <w:rFonts w:cs="Arial"/>
              </w:rPr>
            </w:pPr>
            <w:r>
              <w:rPr>
                <w:rFonts w:cs="Arial"/>
                <w:i/>
              </w:rPr>
              <w:t>Technical Review Board (TRB) report</w:t>
            </w:r>
            <w:r w:rsidR="005477F4">
              <w:rPr>
                <w:rFonts w:cs="Arial"/>
              </w:rPr>
              <w:t xml:space="preserve">: </w:t>
            </w:r>
          </w:p>
          <w:p w:rsidR="005477F4" w:rsidRDefault="008C5FD8" w:rsidP="002A2ABB">
            <w:pPr>
              <w:rPr>
                <w:rFonts w:cs="Arial"/>
              </w:rPr>
            </w:pPr>
            <w:r>
              <w:rPr>
                <w:rFonts w:cs="Arial"/>
              </w:rPr>
              <w:t>Stray Light Control Shroud for the Output Faraday Isolator (OFI)</w:t>
            </w:r>
          </w:p>
        </w:tc>
      </w:tr>
      <w:tr w:rsidR="008817AA" w:rsidTr="001572D2">
        <w:tc>
          <w:tcPr>
            <w:tcW w:w="1098" w:type="dxa"/>
            <w:tcMar>
              <w:top w:w="58" w:type="dxa"/>
              <w:bottom w:w="58" w:type="dxa"/>
            </w:tcMar>
          </w:tcPr>
          <w:p w:rsidR="008817AA" w:rsidRDefault="008817AA" w:rsidP="009D2917">
            <w:pPr>
              <w:rPr>
                <w:rFonts w:cs="Arial"/>
              </w:rPr>
            </w:pPr>
            <w:r>
              <w:rPr>
                <w:rFonts w:cs="Arial"/>
              </w:rPr>
              <w:t>From</w:t>
            </w:r>
          </w:p>
        </w:tc>
        <w:tc>
          <w:tcPr>
            <w:tcW w:w="8460" w:type="dxa"/>
            <w:tcMar>
              <w:top w:w="58" w:type="dxa"/>
              <w:left w:w="115" w:type="dxa"/>
              <w:bottom w:w="58" w:type="dxa"/>
              <w:right w:w="115" w:type="dxa"/>
            </w:tcMar>
          </w:tcPr>
          <w:p w:rsidR="008817AA" w:rsidRDefault="001572D2" w:rsidP="00C70257">
            <w:pPr>
              <w:rPr>
                <w:rFonts w:cs="Arial"/>
              </w:rPr>
            </w:pPr>
            <w:r>
              <w:rPr>
                <w:rFonts w:cs="Arial"/>
              </w:rPr>
              <w:t>TRB: Dennis Coyne</w:t>
            </w:r>
            <w:r w:rsidR="00C70257">
              <w:rPr>
                <w:rFonts w:cs="Arial"/>
              </w:rPr>
              <w:t xml:space="preserve"> (chair)</w:t>
            </w:r>
            <w:r>
              <w:rPr>
                <w:rFonts w:cs="Arial"/>
              </w:rPr>
              <w:t xml:space="preserve">, </w:t>
            </w:r>
            <w:r w:rsidR="00C70257">
              <w:rPr>
                <w:rFonts w:cs="Arial"/>
              </w:rPr>
              <w:t xml:space="preserve">Sheila Dwyer, Anamaria Effler, </w:t>
            </w:r>
            <w:r w:rsidR="00F40F59">
              <w:rPr>
                <w:rFonts w:cs="Arial"/>
              </w:rPr>
              <w:t xml:space="preserve">Norna Robertson, </w:t>
            </w:r>
            <w:bookmarkStart w:id="0" w:name="_GoBack"/>
            <w:bookmarkEnd w:id="0"/>
            <w:r w:rsidR="00C70257">
              <w:rPr>
                <w:rFonts w:cs="Arial"/>
              </w:rPr>
              <w:t>Robert Schofield</w:t>
            </w:r>
          </w:p>
        </w:tc>
      </w:tr>
      <w:tr w:rsidR="00C70257" w:rsidTr="001572D2">
        <w:tc>
          <w:tcPr>
            <w:tcW w:w="1098" w:type="dxa"/>
            <w:tcMar>
              <w:top w:w="58" w:type="dxa"/>
              <w:bottom w:w="58" w:type="dxa"/>
            </w:tcMar>
          </w:tcPr>
          <w:p w:rsidR="00C70257" w:rsidRDefault="00C70257" w:rsidP="009D2917">
            <w:pPr>
              <w:rPr>
                <w:rFonts w:cs="Arial"/>
              </w:rPr>
            </w:pPr>
            <w:r>
              <w:rPr>
                <w:rFonts w:cs="Arial"/>
              </w:rPr>
              <w:t>To:</w:t>
            </w:r>
          </w:p>
        </w:tc>
        <w:tc>
          <w:tcPr>
            <w:tcW w:w="8460" w:type="dxa"/>
            <w:tcMar>
              <w:top w:w="58" w:type="dxa"/>
              <w:bottom w:w="58" w:type="dxa"/>
            </w:tcMar>
          </w:tcPr>
          <w:p w:rsidR="00C70257" w:rsidRDefault="00C70257" w:rsidP="009D2917">
            <w:pPr>
              <w:rPr>
                <w:rFonts w:cs="Arial"/>
              </w:rPr>
            </w:pPr>
            <w:r>
              <w:rPr>
                <w:rFonts w:cs="Arial"/>
              </w:rPr>
              <w:t>Design Team: Alena Ananyeva, Stephen Appert, Corey Austin, Calum Torrie, Eddie Sanchez</w:t>
            </w:r>
          </w:p>
        </w:tc>
      </w:tr>
      <w:tr w:rsidR="00C70257" w:rsidTr="001572D2">
        <w:tc>
          <w:tcPr>
            <w:tcW w:w="1098" w:type="dxa"/>
            <w:tcMar>
              <w:top w:w="58" w:type="dxa"/>
              <w:bottom w:w="58" w:type="dxa"/>
            </w:tcMar>
          </w:tcPr>
          <w:p w:rsidR="00C70257" w:rsidRDefault="00C70257" w:rsidP="009D2917">
            <w:pPr>
              <w:rPr>
                <w:rFonts w:cs="Arial"/>
              </w:rPr>
            </w:pPr>
            <w:r>
              <w:rPr>
                <w:rFonts w:cs="Arial"/>
              </w:rPr>
              <w:t>cc:</w:t>
            </w:r>
          </w:p>
        </w:tc>
        <w:tc>
          <w:tcPr>
            <w:tcW w:w="8460" w:type="dxa"/>
            <w:tcMar>
              <w:top w:w="58" w:type="dxa"/>
              <w:bottom w:w="58" w:type="dxa"/>
            </w:tcMar>
          </w:tcPr>
          <w:p w:rsidR="00C70257" w:rsidRDefault="00C70257" w:rsidP="009D2917">
            <w:pPr>
              <w:rPr>
                <w:rFonts w:cs="Arial"/>
              </w:rPr>
            </w:pPr>
            <w:r w:rsidRPr="00C70257">
              <w:rPr>
                <w:rFonts w:cs="Arial"/>
              </w:rPr>
              <w:t>aligo_sys@ligo.caltech.edu</w:t>
            </w:r>
          </w:p>
        </w:tc>
      </w:tr>
      <w:tr w:rsidR="005477F4" w:rsidTr="001572D2">
        <w:tc>
          <w:tcPr>
            <w:tcW w:w="1098" w:type="dxa"/>
            <w:tcMar>
              <w:top w:w="58" w:type="dxa"/>
              <w:bottom w:w="58" w:type="dxa"/>
            </w:tcMar>
          </w:tcPr>
          <w:p w:rsidR="005477F4" w:rsidRDefault="005477F4" w:rsidP="009D2917">
            <w:pPr>
              <w:rPr>
                <w:rFonts w:cs="Arial"/>
              </w:rPr>
            </w:pPr>
            <w:r>
              <w:rPr>
                <w:rFonts w:cs="Arial"/>
              </w:rPr>
              <w:t>Refer to</w:t>
            </w:r>
          </w:p>
        </w:tc>
        <w:tc>
          <w:tcPr>
            <w:tcW w:w="8460" w:type="dxa"/>
            <w:tcMar>
              <w:top w:w="58" w:type="dxa"/>
              <w:bottom w:w="58" w:type="dxa"/>
            </w:tcMar>
          </w:tcPr>
          <w:p w:rsidR="005477F4" w:rsidRDefault="00C70257" w:rsidP="009D2917">
            <w:pPr>
              <w:rPr>
                <w:rFonts w:cs="Arial"/>
              </w:rPr>
            </w:pPr>
            <w:r>
              <w:rPr>
                <w:rFonts w:cs="Arial"/>
              </w:rPr>
              <w:t>L1800095</w:t>
            </w:r>
            <w:r w:rsidR="00BD2729">
              <w:rPr>
                <w:rFonts w:cs="Arial"/>
              </w:rPr>
              <w:t>-v1</w:t>
            </w:r>
          </w:p>
        </w:tc>
      </w:tr>
      <w:tr w:rsidR="005477F4" w:rsidTr="001572D2">
        <w:tc>
          <w:tcPr>
            <w:tcW w:w="1098" w:type="dxa"/>
            <w:tcMar>
              <w:top w:w="58" w:type="dxa"/>
              <w:bottom w:w="58" w:type="dxa"/>
            </w:tcMar>
          </w:tcPr>
          <w:p w:rsidR="005477F4" w:rsidRDefault="005477F4" w:rsidP="009D2917">
            <w:pPr>
              <w:rPr>
                <w:rFonts w:cs="Arial"/>
              </w:rPr>
            </w:pPr>
            <w:r>
              <w:rPr>
                <w:rFonts w:cs="Arial"/>
              </w:rPr>
              <w:t>Date</w:t>
            </w:r>
          </w:p>
        </w:tc>
        <w:tc>
          <w:tcPr>
            <w:tcW w:w="8460" w:type="dxa"/>
            <w:tcMar>
              <w:top w:w="58" w:type="dxa"/>
              <w:bottom w:w="58" w:type="dxa"/>
            </w:tcMar>
          </w:tcPr>
          <w:p w:rsidR="005477F4" w:rsidRDefault="00C70257" w:rsidP="002A2ABB">
            <w:pPr>
              <w:rPr>
                <w:rFonts w:cs="Arial"/>
              </w:rPr>
            </w:pPr>
            <w:r>
              <w:rPr>
                <w:rFonts w:cs="Arial"/>
              </w:rPr>
              <w:t>20 Apr</w:t>
            </w:r>
            <w:r w:rsidR="005477F4">
              <w:rPr>
                <w:rFonts w:cs="Arial"/>
              </w:rPr>
              <w:t xml:space="preserve"> 201</w:t>
            </w:r>
            <w:r>
              <w:rPr>
                <w:rFonts w:cs="Arial"/>
              </w:rPr>
              <w:t>8</w:t>
            </w:r>
          </w:p>
        </w:tc>
      </w:tr>
    </w:tbl>
    <w:p w:rsidR="005477F4" w:rsidRDefault="005477F4" w:rsidP="005477F4">
      <w:pPr>
        <w:rPr>
          <w:rFonts w:cs="Arial"/>
        </w:rPr>
      </w:pPr>
    </w:p>
    <w:p w:rsidR="00306B96" w:rsidRPr="00ED4513" w:rsidRDefault="005477F4" w:rsidP="0063053D">
      <w:pPr>
        <w:pStyle w:val="Heading1"/>
      </w:pPr>
      <w:r>
        <w:t>Background</w:t>
      </w:r>
    </w:p>
    <w:p w:rsidR="00674686" w:rsidRPr="00674686" w:rsidRDefault="00674686" w:rsidP="00674686">
      <w:pPr>
        <w:rPr>
          <w:rFonts w:cs="Arial"/>
        </w:rPr>
      </w:pPr>
      <w:r>
        <w:rPr>
          <w:rFonts w:cs="Arial"/>
        </w:rPr>
        <w:t>The Output Faraday Isolator (</w:t>
      </w:r>
      <w:r w:rsidRPr="00674686">
        <w:rPr>
          <w:rFonts w:cs="Arial"/>
        </w:rPr>
        <w:t>OFI</w:t>
      </w:r>
      <w:r>
        <w:rPr>
          <w:rFonts w:cs="Arial"/>
        </w:rPr>
        <w:t xml:space="preserve">) has been found to </w:t>
      </w:r>
      <w:r w:rsidR="003D45C5">
        <w:rPr>
          <w:rFonts w:cs="Arial"/>
        </w:rPr>
        <w:t>a significant</w:t>
      </w:r>
      <w:r w:rsidRPr="00674686">
        <w:rPr>
          <w:rFonts w:cs="Arial"/>
        </w:rPr>
        <w:t xml:space="preserve"> source of scattered light </w:t>
      </w:r>
      <w:r w:rsidR="003D45C5">
        <w:rPr>
          <w:rFonts w:cs="Arial"/>
        </w:rPr>
        <w:t>noise</w:t>
      </w:r>
      <w:r>
        <w:rPr>
          <w:rFonts w:cs="Arial"/>
        </w:rPr>
        <w:t xml:space="preserve"> (</w:t>
      </w:r>
      <w:hyperlink r:id="rId9" w:history="1">
        <w:r w:rsidRPr="00674686">
          <w:rPr>
            <w:rStyle w:val="Hyperlink"/>
            <w:rFonts w:cs="Arial"/>
          </w:rPr>
          <w:t>G1800717</w:t>
        </w:r>
      </w:hyperlink>
      <w:r>
        <w:rPr>
          <w:rFonts w:cs="Arial"/>
        </w:rPr>
        <w:t xml:space="preserve"> and </w:t>
      </w:r>
      <w:hyperlink r:id="rId10" w:history="1">
        <w:r w:rsidRPr="00674686">
          <w:rPr>
            <w:rStyle w:val="Hyperlink"/>
            <w:rFonts w:cs="Arial"/>
          </w:rPr>
          <w:t>FRS issue #10461</w:t>
        </w:r>
      </w:hyperlink>
      <w:r>
        <w:rPr>
          <w:rFonts w:cs="Arial"/>
        </w:rPr>
        <w:t xml:space="preserve">). The likely </w:t>
      </w:r>
      <w:r w:rsidRPr="00674686">
        <w:rPr>
          <w:rFonts w:cs="Arial"/>
        </w:rPr>
        <w:t>scattering path</w:t>
      </w:r>
      <w:r>
        <w:rPr>
          <w:rFonts w:cs="Arial"/>
        </w:rPr>
        <w:t xml:space="preserve">s are </w:t>
      </w:r>
      <w:r w:rsidR="003D45C5">
        <w:rPr>
          <w:rFonts w:cs="Arial"/>
        </w:rPr>
        <w:t xml:space="preserve">diffuse scattering </w:t>
      </w:r>
      <w:r>
        <w:rPr>
          <w:rFonts w:cs="Arial"/>
        </w:rPr>
        <w:t xml:space="preserve">from the </w:t>
      </w:r>
      <w:r w:rsidRPr="00674686">
        <w:rPr>
          <w:rFonts w:cs="Arial"/>
        </w:rPr>
        <w:t xml:space="preserve">OFI to </w:t>
      </w:r>
      <w:r>
        <w:rPr>
          <w:rFonts w:cs="Arial"/>
        </w:rPr>
        <w:t xml:space="preserve">the </w:t>
      </w:r>
      <w:r w:rsidRPr="00674686">
        <w:rPr>
          <w:rFonts w:cs="Arial"/>
        </w:rPr>
        <w:t>vacuum</w:t>
      </w:r>
      <w:r>
        <w:rPr>
          <w:rFonts w:cs="Arial"/>
        </w:rPr>
        <w:t xml:space="preserve"> chamber walls</w:t>
      </w:r>
      <w:r w:rsidRPr="00674686">
        <w:rPr>
          <w:rFonts w:cs="Arial"/>
        </w:rPr>
        <w:t xml:space="preserve"> and back</w:t>
      </w:r>
      <w:r>
        <w:rPr>
          <w:rFonts w:cs="Arial"/>
        </w:rPr>
        <w:t xml:space="preserve"> to the OFI:</w:t>
      </w:r>
    </w:p>
    <w:p w:rsidR="00674686" w:rsidRPr="00674686" w:rsidRDefault="00674686" w:rsidP="008C1564">
      <w:pPr>
        <w:pStyle w:val="ListParagraph"/>
        <w:numPr>
          <w:ilvl w:val="0"/>
          <w:numId w:val="2"/>
        </w:numPr>
        <w:rPr>
          <w:rFonts w:cs="Arial"/>
        </w:rPr>
      </w:pPr>
      <w:r w:rsidRPr="00674686">
        <w:rPr>
          <w:rFonts w:cs="Arial"/>
        </w:rPr>
        <w:t>Shaking produces DARM noise at vacuum enclosure resonances</w:t>
      </w:r>
    </w:p>
    <w:p w:rsidR="00674686" w:rsidRPr="00674686" w:rsidRDefault="00674686" w:rsidP="008C1564">
      <w:pPr>
        <w:pStyle w:val="ListParagraph"/>
        <w:numPr>
          <w:ilvl w:val="0"/>
          <w:numId w:val="2"/>
        </w:numPr>
        <w:rPr>
          <w:rFonts w:cs="Arial"/>
        </w:rPr>
      </w:pPr>
      <w:r w:rsidRPr="00674686">
        <w:rPr>
          <w:rFonts w:cs="Arial"/>
        </w:rPr>
        <w:t xml:space="preserve">Moving </w:t>
      </w:r>
      <w:r w:rsidR="003D45C5">
        <w:rPr>
          <w:rFonts w:cs="Arial"/>
        </w:rPr>
        <w:t xml:space="preserve">the </w:t>
      </w:r>
      <w:r w:rsidRPr="00674686">
        <w:rPr>
          <w:rFonts w:cs="Arial"/>
        </w:rPr>
        <w:t>OFI</w:t>
      </w:r>
      <w:r w:rsidR="003D45C5">
        <w:rPr>
          <w:rFonts w:cs="Arial"/>
        </w:rPr>
        <w:t xml:space="preserve"> (with the</w:t>
      </w:r>
      <w:r w:rsidRPr="00674686">
        <w:rPr>
          <w:rFonts w:cs="Arial"/>
        </w:rPr>
        <w:t xml:space="preserve"> new</w:t>
      </w:r>
      <w:r w:rsidR="003D45C5">
        <w:rPr>
          <w:rFonts w:cs="Arial"/>
        </w:rPr>
        <w:t>ly added OSEM actuators) results in</w:t>
      </w:r>
      <w:r w:rsidRPr="00674686">
        <w:rPr>
          <w:rFonts w:cs="Arial"/>
        </w:rPr>
        <w:t xml:space="preserve"> strong</w:t>
      </w:r>
      <w:r w:rsidR="003D45C5">
        <w:rPr>
          <w:rFonts w:cs="Arial"/>
        </w:rPr>
        <w:t xml:space="preserve"> modulation of</w:t>
      </w:r>
      <w:r w:rsidRPr="00674686">
        <w:rPr>
          <w:rFonts w:cs="Arial"/>
        </w:rPr>
        <w:t xml:space="preserve"> scattering</w:t>
      </w:r>
      <w:r w:rsidR="003D45C5">
        <w:rPr>
          <w:rFonts w:cs="Arial"/>
        </w:rPr>
        <w:t xml:space="preserve"> noise at the</w:t>
      </w:r>
      <w:r w:rsidRPr="00674686">
        <w:rPr>
          <w:rFonts w:cs="Arial"/>
        </w:rPr>
        <w:t xml:space="preserve"> chamber </w:t>
      </w:r>
      <w:r w:rsidR="003D45C5">
        <w:rPr>
          <w:rFonts w:cs="Arial"/>
        </w:rPr>
        <w:t>resonances</w:t>
      </w:r>
    </w:p>
    <w:p w:rsidR="00674686" w:rsidRPr="00674686" w:rsidRDefault="003D45C5" w:rsidP="008C1564">
      <w:pPr>
        <w:pStyle w:val="ListParagraph"/>
        <w:numPr>
          <w:ilvl w:val="0"/>
          <w:numId w:val="2"/>
        </w:numPr>
        <w:rPr>
          <w:rFonts w:cs="Arial"/>
        </w:rPr>
      </w:pPr>
      <w:r>
        <w:rPr>
          <w:rFonts w:cs="Arial"/>
        </w:rPr>
        <w:t xml:space="preserve">The </w:t>
      </w:r>
      <w:r w:rsidR="00674686" w:rsidRPr="00674686">
        <w:rPr>
          <w:rFonts w:cs="Arial"/>
        </w:rPr>
        <w:t xml:space="preserve">OFI is </w:t>
      </w:r>
      <w:r>
        <w:rPr>
          <w:rFonts w:cs="Arial"/>
        </w:rPr>
        <w:t xml:space="preserve">the </w:t>
      </w:r>
      <w:r w:rsidR="00674686" w:rsidRPr="00674686">
        <w:rPr>
          <w:rFonts w:cs="Arial"/>
        </w:rPr>
        <w:t xml:space="preserve">greatest source of scattered light visible at </w:t>
      </w:r>
      <w:r>
        <w:rPr>
          <w:rFonts w:cs="Arial"/>
        </w:rPr>
        <w:t xml:space="preserve">the </w:t>
      </w:r>
      <w:r w:rsidR="00674686" w:rsidRPr="00674686">
        <w:rPr>
          <w:rFonts w:cs="Arial"/>
        </w:rPr>
        <w:t>view ports.</w:t>
      </w:r>
    </w:p>
    <w:p w:rsidR="00C70257" w:rsidRDefault="003D45C5" w:rsidP="00674686">
      <w:pPr>
        <w:rPr>
          <w:rFonts w:cs="Arial"/>
        </w:rPr>
      </w:pPr>
      <w:r>
        <w:rPr>
          <w:rFonts w:cs="Arial"/>
        </w:rPr>
        <w:t>In order to mitigate this scattered light noise source, it is proposed to b</w:t>
      </w:r>
      <w:r w:rsidR="00674686" w:rsidRPr="00674686">
        <w:rPr>
          <w:rFonts w:cs="Arial"/>
        </w:rPr>
        <w:t xml:space="preserve">lock </w:t>
      </w:r>
      <w:r>
        <w:rPr>
          <w:rFonts w:cs="Arial"/>
        </w:rPr>
        <w:t xml:space="preserve">the light </w:t>
      </w:r>
      <w:r w:rsidR="00674686" w:rsidRPr="00674686">
        <w:rPr>
          <w:rFonts w:cs="Arial"/>
        </w:rPr>
        <w:t xml:space="preserve">paths from </w:t>
      </w:r>
      <w:r>
        <w:rPr>
          <w:rFonts w:cs="Arial"/>
        </w:rPr>
        <w:t xml:space="preserve">the </w:t>
      </w:r>
      <w:r w:rsidR="00674686" w:rsidRPr="00674686">
        <w:rPr>
          <w:rFonts w:cs="Arial"/>
        </w:rPr>
        <w:t xml:space="preserve">OFI to </w:t>
      </w:r>
      <w:r>
        <w:rPr>
          <w:rFonts w:cs="Arial"/>
        </w:rPr>
        <w:t xml:space="preserve">the </w:t>
      </w:r>
      <w:r w:rsidR="00674686" w:rsidRPr="00674686">
        <w:rPr>
          <w:rFonts w:cs="Arial"/>
        </w:rPr>
        <w:t xml:space="preserve">vacuum </w:t>
      </w:r>
      <w:r>
        <w:rPr>
          <w:rFonts w:cs="Arial"/>
        </w:rPr>
        <w:t>chamber walls with a “shroud” surrounding the OFI.</w:t>
      </w:r>
    </w:p>
    <w:p w:rsidR="00C70257" w:rsidRDefault="00C70257" w:rsidP="00C70257">
      <w:pPr>
        <w:rPr>
          <w:rFonts w:cs="Arial"/>
        </w:rPr>
      </w:pPr>
    </w:p>
    <w:p w:rsidR="00C70257" w:rsidRDefault="003D45C5" w:rsidP="003D45C5">
      <w:pPr>
        <w:rPr>
          <w:rFonts w:cs="Arial"/>
        </w:rPr>
      </w:pPr>
      <w:r>
        <w:rPr>
          <w:rFonts w:cs="Arial"/>
        </w:rPr>
        <w:t xml:space="preserve">In addition to the diffuse scattered light from the OFI, the first and possibly second order ghost beams/reflections from elements of the OFI assembly must also be properly dumped or baffled. </w:t>
      </w:r>
      <w:r w:rsidR="00AD0E2B">
        <w:rPr>
          <w:rFonts w:cs="Arial"/>
        </w:rPr>
        <w:t>Mitigating the effects of these ghost beams are also addressed in this review.</w:t>
      </w:r>
    </w:p>
    <w:p w:rsidR="00DC6A6D" w:rsidRDefault="00DC6A6D" w:rsidP="00B508AD">
      <w:pPr>
        <w:rPr>
          <w:rFonts w:cs="Arial"/>
        </w:rPr>
      </w:pPr>
    </w:p>
    <w:p w:rsidR="00EE2828" w:rsidRDefault="00FD5962" w:rsidP="00EE2828">
      <w:pPr>
        <w:pStyle w:val="Heading1"/>
      </w:pPr>
      <w:r>
        <w:t>TRB review</w:t>
      </w:r>
    </w:p>
    <w:p w:rsidR="00622A51" w:rsidRPr="00AD0E2B" w:rsidRDefault="00622A51" w:rsidP="001572D2">
      <w:pPr>
        <w:rPr>
          <w:rFonts w:cs="Arial"/>
        </w:rPr>
      </w:pPr>
    </w:p>
    <w:p w:rsidR="00A12123" w:rsidRPr="00AD0E2B" w:rsidRDefault="00891B61" w:rsidP="008C5FD8">
      <w:pPr>
        <w:rPr>
          <w:rFonts w:cs="Arial"/>
        </w:rPr>
      </w:pPr>
      <w:r w:rsidRPr="00AD0E2B">
        <w:rPr>
          <w:rFonts w:cs="Arial"/>
        </w:rPr>
        <w:t xml:space="preserve">The TRB </w:t>
      </w:r>
      <w:r w:rsidR="00AD0E2B" w:rsidRPr="00AD0E2B">
        <w:rPr>
          <w:rFonts w:cs="Arial"/>
        </w:rPr>
        <w:t xml:space="preserve">(members </w:t>
      </w:r>
      <w:r w:rsidRPr="00AD0E2B">
        <w:rPr>
          <w:rFonts w:cs="Arial"/>
        </w:rPr>
        <w:t>listed above</w:t>
      </w:r>
      <w:r w:rsidR="00AD0E2B" w:rsidRPr="00AD0E2B">
        <w:rPr>
          <w:rFonts w:cs="Arial"/>
        </w:rPr>
        <w:t>)</w:t>
      </w:r>
      <w:r w:rsidRPr="00AD0E2B">
        <w:rPr>
          <w:rFonts w:cs="Arial"/>
        </w:rPr>
        <w:t xml:space="preserve"> met with </w:t>
      </w:r>
      <w:r w:rsidR="008C5FD8" w:rsidRPr="00AD0E2B">
        <w:rPr>
          <w:rFonts w:cs="Arial"/>
        </w:rPr>
        <w:t>the design team (</w:t>
      </w:r>
      <w:r w:rsidR="00AD0E2B">
        <w:rPr>
          <w:rFonts w:cs="Arial"/>
        </w:rPr>
        <w:t>also listed above</w:t>
      </w:r>
      <w:r w:rsidR="008C5FD8" w:rsidRPr="00AD0E2B">
        <w:rPr>
          <w:rFonts w:cs="Arial"/>
        </w:rPr>
        <w:t>)</w:t>
      </w:r>
      <w:r w:rsidRPr="00AD0E2B">
        <w:rPr>
          <w:rFonts w:cs="Arial"/>
        </w:rPr>
        <w:t xml:space="preserve"> on </w:t>
      </w:r>
      <w:r w:rsidR="008C5FD8" w:rsidRPr="00AD0E2B">
        <w:rPr>
          <w:rFonts w:cs="Arial"/>
        </w:rPr>
        <w:t>18 April 2018</w:t>
      </w:r>
      <w:r w:rsidR="00AD0E2B">
        <w:rPr>
          <w:rFonts w:cs="Arial"/>
        </w:rPr>
        <w:t xml:space="preserve"> to review the proposed shroud design (</w:t>
      </w:r>
      <w:hyperlink r:id="rId11" w:history="1">
        <w:r w:rsidR="00AD0E2B" w:rsidRPr="00AD0E2B">
          <w:rPr>
            <w:rStyle w:val="Hyperlink"/>
            <w:rFonts w:cs="Arial"/>
          </w:rPr>
          <w:t>G1800787</w:t>
        </w:r>
      </w:hyperlink>
      <w:r w:rsidR="00AD0E2B">
        <w:rPr>
          <w:rFonts w:cs="Arial"/>
        </w:rPr>
        <w:t xml:space="preserve">-v4). </w:t>
      </w:r>
      <w:r w:rsidR="00FE2A47">
        <w:rPr>
          <w:rFonts w:cs="Arial"/>
        </w:rPr>
        <w:t>The review team have the following recommendations:</w:t>
      </w:r>
    </w:p>
    <w:p w:rsidR="005477F4" w:rsidRPr="00AD0E2B" w:rsidRDefault="005477F4" w:rsidP="005477F4">
      <w:pPr>
        <w:rPr>
          <w:rFonts w:cs="Arial"/>
        </w:rPr>
      </w:pPr>
    </w:p>
    <w:p w:rsidR="00B60F18" w:rsidRDefault="00B60F18" w:rsidP="008C1564">
      <w:pPr>
        <w:pStyle w:val="ListParagraph"/>
        <w:numPr>
          <w:ilvl w:val="0"/>
          <w:numId w:val="3"/>
        </w:numPr>
      </w:pPr>
      <w:r w:rsidRPr="00B60F18">
        <w:rPr>
          <w:u w:val="single"/>
        </w:rPr>
        <w:t>Shroud on the ISI not the suspended OFI platform</w:t>
      </w:r>
      <w:r>
        <w:t>: We concur with the design team’s decision to place the shroud components on the ISI table, or the OFI structure, and not on the suspended OFI platform (with the exception of the pre-e</w:t>
      </w:r>
      <w:r w:rsidR="000A1D78">
        <w:t xml:space="preserve">xisting baffles already part of the suspended assembly, </w:t>
      </w:r>
      <w:hyperlink r:id="rId12" w:history="1">
        <w:r w:rsidR="000A1D78" w:rsidRPr="000A1D78">
          <w:rPr>
            <w:rStyle w:val="Hyperlink"/>
          </w:rPr>
          <w:t>D0900623</w:t>
        </w:r>
      </w:hyperlink>
      <w:r w:rsidR="000A1D78">
        <w:t>)</w:t>
      </w:r>
      <w:r>
        <w:t>. The later approach would be difficult to accomplish and would necessitate considerable re-alignment.</w:t>
      </w:r>
    </w:p>
    <w:p w:rsidR="000A1D78" w:rsidRPr="00B60F18" w:rsidRDefault="000A1D78" w:rsidP="008C1564">
      <w:pPr>
        <w:pStyle w:val="ListParagraph"/>
        <w:numPr>
          <w:ilvl w:val="0"/>
          <w:numId w:val="3"/>
        </w:numPr>
      </w:pPr>
      <w:r>
        <w:rPr>
          <w:u w:val="single"/>
        </w:rPr>
        <w:t>Improved Baffles on the Suspended OFI Platform</w:t>
      </w:r>
      <w:r w:rsidRPr="000A1D78">
        <w:t>:</w:t>
      </w:r>
      <w:r>
        <w:t xml:space="preserve"> Although not indicated in the presentation (</w:t>
      </w:r>
      <w:hyperlink r:id="rId13" w:history="1">
        <w:r w:rsidRPr="00AD0E2B">
          <w:rPr>
            <w:rStyle w:val="Hyperlink"/>
            <w:rFonts w:cs="Arial"/>
          </w:rPr>
          <w:t>G1800787</w:t>
        </w:r>
      </w:hyperlink>
      <w:r>
        <w:rPr>
          <w:rFonts w:cs="Arial"/>
        </w:rPr>
        <w:t>-v4</w:t>
      </w:r>
      <w:r>
        <w:t xml:space="preserve">), it was verbally mentioned in the review that the </w:t>
      </w:r>
      <w:r>
        <w:lastRenderedPageBreak/>
        <w:t>baffles/dumps on the suspended OFI platform would be replaced with parts with better s</w:t>
      </w:r>
      <w:r w:rsidR="0094543B">
        <w:t>tray light performance. Specifically t</w:t>
      </w:r>
      <w:r>
        <w:t>he current parts (</w:t>
      </w:r>
      <w:hyperlink r:id="rId14" w:history="1">
        <w:r w:rsidRPr="0094543B">
          <w:rPr>
            <w:rStyle w:val="Hyperlink"/>
          </w:rPr>
          <w:t>D1001864</w:t>
        </w:r>
      </w:hyperlink>
      <w:r>
        <w:t xml:space="preserve">, </w:t>
      </w:r>
      <w:hyperlink r:id="rId15" w:history="1">
        <w:r w:rsidRPr="0094543B">
          <w:rPr>
            <w:rStyle w:val="Hyperlink"/>
          </w:rPr>
          <w:t>D1100247</w:t>
        </w:r>
      </w:hyperlink>
      <w:r>
        <w:t xml:space="preserve">, </w:t>
      </w:r>
      <w:hyperlink r:id="rId16" w:history="1">
        <w:r w:rsidRPr="0094543B">
          <w:rPr>
            <w:rStyle w:val="Hyperlink"/>
          </w:rPr>
          <w:t>D1100258</w:t>
        </w:r>
      </w:hyperlink>
      <w:r>
        <w:t xml:space="preserve">) </w:t>
      </w:r>
      <w:r w:rsidR="0094543B">
        <w:t xml:space="preserve">which </w:t>
      </w:r>
      <w:r>
        <w:t xml:space="preserve">are oxidized, non-directional, super </w:t>
      </w:r>
      <w:r w:rsidR="0094543B">
        <w:t>#8 stainless steel, would be replaced with black nickel coated, non-directional, super #8 stainless steel. We concur that this be part of the improved design.</w:t>
      </w:r>
    </w:p>
    <w:p w:rsidR="00FF0FB0" w:rsidRDefault="0005516E" w:rsidP="008C1564">
      <w:pPr>
        <w:pStyle w:val="ListParagraph"/>
        <w:numPr>
          <w:ilvl w:val="0"/>
          <w:numId w:val="3"/>
        </w:numPr>
      </w:pPr>
      <w:r w:rsidRPr="0005516E">
        <w:rPr>
          <w:u w:val="single"/>
        </w:rPr>
        <w:t>Two sets of Shrouds</w:t>
      </w:r>
      <w:r>
        <w:t xml:space="preserve">: </w:t>
      </w:r>
      <w:r w:rsidR="003A4214">
        <w:t xml:space="preserve">Two sets of shrouds should be procured for each observatory (H1 and L1). One set intended for rapid procurement and low cost and the second set intended for best performance in mitigating stray light noise. We cannot afford the time to try a low cost solution and then procure a better solution if </w:t>
      </w:r>
      <w:r w:rsidR="00B23931">
        <w:t>found to be necessary. Conversely we cannot afford to miss a synergistic, installation window-of-opportunity by delaying for the best solution.</w:t>
      </w:r>
    </w:p>
    <w:p w:rsidR="00FF0FB0" w:rsidRDefault="003A4214" w:rsidP="008C1564">
      <w:pPr>
        <w:pStyle w:val="ListParagraph"/>
        <w:numPr>
          <w:ilvl w:val="1"/>
          <w:numId w:val="3"/>
        </w:numPr>
      </w:pPr>
      <w:r>
        <w:t xml:space="preserve">The first set </w:t>
      </w:r>
      <w:r w:rsidRPr="00FF0FB0">
        <w:rPr>
          <w:u w:val="single"/>
        </w:rPr>
        <w:t>may</w:t>
      </w:r>
      <w:r>
        <w:t xml:space="preserve"> be installed first at the observatory(ies), if/as the installation &amp; commissioning schedule allow. </w:t>
      </w:r>
      <w:r w:rsidR="00FF0FB0">
        <w:t>Even if only a subset of panels can be procured in time for an opportunistic installation, t</w:t>
      </w:r>
      <w:r>
        <w:t>his first set</w:t>
      </w:r>
      <w:r w:rsidR="00FF0FB0">
        <w:t xml:space="preserve"> (or subset)</w:t>
      </w:r>
      <w:r>
        <w:t xml:space="preserve"> may help to inform, by direct measurement, the efficacy of an OFI shroud in reducing DARM noise.</w:t>
      </w:r>
      <w:r w:rsidR="004E263B">
        <w:t xml:space="preserve"> </w:t>
      </w:r>
      <w:r>
        <w:t xml:space="preserve">The first set should be comprised of non-directional, super #8, stainless steel panels coated with black nickel. </w:t>
      </w:r>
    </w:p>
    <w:p w:rsidR="00AD0E2B" w:rsidRDefault="003A4214" w:rsidP="008C1564">
      <w:pPr>
        <w:pStyle w:val="ListParagraph"/>
        <w:numPr>
          <w:ilvl w:val="1"/>
          <w:numId w:val="3"/>
        </w:numPr>
      </w:pPr>
      <w:r>
        <w:t>The second set may be installed opportunistically, particularly if the first set (if installed) is shown to be inadequate</w:t>
      </w:r>
      <w:r w:rsidR="00FF0FB0">
        <w:t>, or the installation may be differed to a future date (even after O3)</w:t>
      </w:r>
      <w:r>
        <w:t>.</w:t>
      </w:r>
      <w:r w:rsidR="00B23931">
        <w:t xml:space="preserve"> The second set should be comprised o</w:t>
      </w:r>
      <w:r w:rsidR="00FF0FB0">
        <w:t>f AR-coated, black glass panels, i.e. our best overall solution from a stray light mitigation perspective.</w:t>
      </w:r>
    </w:p>
    <w:p w:rsidR="00FF0FB0" w:rsidRPr="00FF0FB0" w:rsidRDefault="00FF0FB0" w:rsidP="008C1564">
      <w:pPr>
        <w:pStyle w:val="ListParagraph"/>
        <w:numPr>
          <w:ilvl w:val="0"/>
          <w:numId w:val="3"/>
        </w:numPr>
      </w:pPr>
      <w:r w:rsidRPr="00FF0FB0">
        <w:rPr>
          <w:u w:val="single"/>
        </w:rPr>
        <w:t>Shroud ‘Roof”</w:t>
      </w:r>
      <w:r>
        <w:t xml:space="preserve">: Consider </w:t>
      </w:r>
      <w:r w:rsidR="00CF5225">
        <w:t>a revised design wherein the angle between the side panels and the roof panels is obtuse (not acute, as is the case in the design as presented). An obtuse angle would insure more than two reflections from the shroud panels before being directed back to the OFI assembly. One way to accomplish this is to implement a Gable Roof.</w:t>
      </w:r>
    </w:p>
    <w:p w:rsidR="00A51002" w:rsidRDefault="0005516E" w:rsidP="008C1564">
      <w:pPr>
        <w:pStyle w:val="ListParagraph"/>
        <w:numPr>
          <w:ilvl w:val="0"/>
          <w:numId w:val="3"/>
        </w:numPr>
      </w:pPr>
      <w:r w:rsidRPr="0005516E">
        <w:rPr>
          <w:u w:val="single"/>
        </w:rPr>
        <w:t>Squeezed Beam Aperture</w:t>
      </w:r>
      <w:r>
        <w:t xml:space="preserve">: </w:t>
      </w:r>
      <w:r w:rsidR="00A51002">
        <w:t>T</w:t>
      </w:r>
      <w:r w:rsidR="00A51002" w:rsidRPr="00AD0E2B">
        <w:t xml:space="preserve">he aperture for the injection of the squeezed beam </w:t>
      </w:r>
      <w:r w:rsidR="00DD6C10">
        <w:t>is currently TBD</w:t>
      </w:r>
      <w:r w:rsidR="00A51002">
        <w:t xml:space="preserve">. It </w:t>
      </w:r>
      <w:r w:rsidR="00A51002" w:rsidRPr="00AD0E2B">
        <w:t xml:space="preserve">should be an ellipse </w:t>
      </w:r>
      <w:r w:rsidR="00A51002">
        <w:t>(</w:t>
      </w:r>
      <w:r w:rsidR="00A51002" w:rsidRPr="00AD0E2B">
        <w:t xml:space="preserve">since the steering mirror is an ellipse viewed </w:t>
      </w:r>
      <w:r w:rsidR="00A51002">
        <w:t>along the squeezed beam path) and the size should</w:t>
      </w:r>
      <w:r w:rsidR="00A51002" w:rsidRPr="00AD0E2B">
        <w:t xml:space="preserve"> not limit the picomotor</w:t>
      </w:r>
      <w:r w:rsidR="00A51002">
        <w:t xml:space="preserve"> alignment range for this path</w:t>
      </w:r>
      <w:r w:rsidR="00DD6C10">
        <w:t>, nor should the size require precision alignment (include some radial margin).</w:t>
      </w:r>
    </w:p>
    <w:p w:rsidR="00DD6C10" w:rsidRDefault="00DD6C10" w:rsidP="008C1564">
      <w:pPr>
        <w:pStyle w:val="ListParagraph"/>
        <w:numPr>
          <w:ilvl w:val="0"/>
          <w:numId w:val="3"/>
        </w:numPr>
      </w:pPr>
      <w:r>
        <w:rPr>
          <w:u w:val="single"/>
        </w:rPr>
        <w:t>Single Panel on the Squeezed Beam Injection Side</w:t>
      </w:r>
      <w:r w:rsidRPr="00DD6C10">
        <w:t>:</w:t>
      </w:r>
      <w:r>
        <w:t xml:space="preserve"> There isn’t a need for a </w:t>
      </w:r>
      <w:r w:rsidR="006E04BC">
        <w:t xml:space="preserve">low BRDF surface to face the squeezed beam injection direction. A single panel with the low BRDF surface facing toward the OFI is sufficient. </w:t>
      </w:r>
    </w:p>
    <w:p w:rsidR="00E579BD" w:rsidRDefault="008E0E5C" w:rsidP="008C1564">
      <w:pPr>
        <w:pStyle w:val="ListParagraph"/>
        <w:numPr>
          <w:ilvl w:val="0"/>
          <w:numId w:val="3"/>
        </w:numPr>
      </w:pPr>
      <w:r w:rsidRPr="008E0E5C">
        <w:rPr>
          <w:u w:val="single"/>
        </w:rPr>
        <w:t>OFI Input Aperture</w:t>
      </w:r>
      <w:r>
        <w:t>: Insure that the OFI input aperture diameter is large enough to make precision alignment unnecessary if possible (considering the diameter of the SRM AR baffle aperture and the aperture of the first OFI component).</w:t>
      </w:r>
    </w:p>
    <w:p w:rsidR="004E263B" w:rsidRDefault="004E263B" w:rsidP="008C1564">
      <w:pPr>
        <w:pStyle w:val="ListParagraph"/>
        <w:numPr>
          <w:ilvl w:val="0"/>
          <w:numId w:val="3"/>
        </w:numPr>
      </w:pPr>
      <w:r w:rsidRPr="0005516E">
        <w:rPr>
          <w:u w:val="single"/>
        </w:rPr>
        <w:t>Septum Window Ghost Beams</w:t>
      </w:r>
      <w:r>
        <w:t xml:space="preserve">: The two ghost beams, one from each of the two AR-coated surfaces of the wedged septum window, are too low in intensity to find in situ (~5ppm AR coating reflectance). Consequently there isn’t a need to align/adjust the baffle intended to direct these ghost beams. It should be sufficient to orient the panel to direct the ghost beam reflections to the chamber walls. (Also note that there is a difference in the location of the beams at the </w:t>
      </w:r>
      <w:r>
        <w:lastRenderedPageBreak/>
        <w:t>septum window measured at LHO and LLO compared to the Zemax model. The as-measured location should be used to inform the design.)</w:t>
      </w:r>
    </w:p>
    <w:p w:rsidR="008E0E5C" w:rsidRDefault="004E263B" w:rsidP="008C1564">
      <w:pPr>
        <w:pStyle w:val="ListParagraph"/>
        <w:numPr>
          <w:ilvl w:val="0"/>
          <w:numId w:val="3"/>
        </w:numPr>
      </w:pPr>
      <w:r w:rsidRPr="004E263B">
        <w:rPr>
          <w:u w:val="single"/>
        </w:rPr>
        <w:t>Dump for the TFP Ghost Beam</w:t>
      </w:r>
      <w:r>
        <w:t>: It was recently discovered that a ghost beam from the Thin Film Polarizer (TFP), is directed back toward the squeezed beam injection path and lands on the ZM2 steering mirror bracket. The proposed V-shaped beam dump comprised of black glass, placed near the ZM2 Tip/Tilt mirror assembly is a good solution.</w:t>
      </w:r>
    </w:p>
    <w:p w:rsidR="00AD0E2B" w:rsidRDefault="00AD0E2B" w:rsidP="00AD0E2B"/>
    <w:p w:rsidR="00AD0E2B" w:rsidRDefault="00CF5225" w:rsidP="00AD0E2B">
      <w:pPr>
        <w:pStyle w:val="Heading1"/>
      </w:pPr>
      <w:r>
        <w:t xml:space="preserve">Additional </w:t>
      </w:r>
      <w:r w:rsidR="00AD0E2B">
        <w:t>Comments</w:t>
      </w:r>
    </w:p>
    <w:p w:rsidR="00AD0E2B" w:rsidRDefault="00AD0E2B" w:rsidP="00AD0E2B">
      <w:r>
        <w:t xml:space="preserve">Below are a </w:t>
      </w:r>
      <w:r w:rsidR="0094543B">
        <w:t>few</w:t>
      </w:r>
      <w:r>
        <w:t xml:space="preserve"> minor comments</w:t>
      </w:r>
    </w:p>
    <w:p w:rsidR="00AD0E2B" w:rsidRDefault="00AD0E2B" w:rsidP="00AD0E2B"/>
    <w:p w:rsidR="00CF5225" w:rsidRPr="00CF5225" w:rsidRDefault="00CF5225" w:rsidP="008C1564">
      <w:pPr>
        <w:pStyle w:val="ListParagraph"/>
        <w:numPr>
          <w:ilvl w:val="0"/>
          <w:numId w:val="4"/>
        </w:numPr>
      </w:pPr>
      <w:r>
        <w:t xml:space="preserve">The BRDF of the chamber wall, shown in the plot on pg. 2 of </w:t>
      </w:r>
      <w:hyperlink r:id="rId17" w:history="1">
        <w:r w:rsidRPr="00AD0E2B">
          <w:rPr>
            <w:rStyle w:val="Hyperlink"/>
            <w:rFonts w:cs="Arial"/>
          </w:rPr>
          <w:t>G1800787</w:t>
        </w:r>
      </w:hyperlink>
      <w:r>
        <w:rPr>
          <w:rFonts w:cs="Arial"/>
        </w:rPr>
        <w:t xml:space="preserve">-v4, is surely &lt; 1. </w:t>
      </w:r>
    </w:p>
    <w:p w:rsidR="00CF5225" w:rsidRPr="00B60F18" w:rsidRDefault="00CF5225" w:rsidP="008C1564">
      <w:pPr>
        <w:pStyle w:val="ListParagraph"/>
        <w:numPr>
          <w:ilvl w:val="0"/>
          <w:numId w:val="4"/>
        </w:numPr>
      </w:pPr>
      <w:r>
        <w:rPr>
          <w:rFonts w:cs="Arial"/>
        </w:rPr>
        <w:t xml:space="preserve">When estimating the motion of the suspension structures (as in the plot on pg. 3 of </w:t>
      </w:r>
      <w:hyperlink r:id="rId18" w:history="1">
        <w:r w:rsidRPr="00AD0E2B">
          <w:rPr>
            <w:rStyle w:val="Hyperlink"/>
            <w:rFonts w:cs="Arial"/>
          </w:rPr>
          <w:t>G1800787</w:t>
        </w:r>
      </w:hyperlink>
      <w:r>
        <w:rPr>
          <w:rFonts w:cs="Arial"/>
        </w:rPr>
        <w:t xml:space="preserve">-v4) it is best to </w:t>
      </w:r>
      <w:r w:rsidR="00B60F18">
        <w:rPr>
          <w:rFonts w:cs="Arial"/>
        </w:rPr>
        <w:t>include ISI rotations as well as translations in a proper transformation. Often the rotations coupled with the height above the effective center of rotation, dominates.</w:t>
      </w:r>
    </w:p>
    <w:p w:rsidR="00B60F18" w:rsidRPr="00AD0E2B" w:rsidRDefault="0094543B" w:rsidP="008C1564">
      <w:pPr>
        <w:pStyle w:val="ListParagraph"/>
        <w:numPr>
          <w:ilvl w:val="0"/>
          <w:numId w:val="4"/>
        </w:numPr>
      </w:pPr>
      <w:r>
        <w:t>Consider making the slot for the picomotor cable a keyhole, rather than simply widening the slot.</w:t>
      </w:r>
    </w:p>
    <w:sectPr w:rsidR="00B60F18" w:rsidRPr="00AD0E2B" w:rsidSect="004E57BB">
      <w:headerReference w:type="default" r:id="rId19"/>
      <w:footerReference w:type="default" r:id="rId20"/>
      <w:footerReference w:type="first" r:id="rId21"/>
      <w:pgSz w:w="12240" w:h="15840" w:code="1"/>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EF" w:rsidRDefault="002356EF" w:rsidP="0063053D">
      <w:r>
        <w:separator/>
      </w:r>
    </w:p>
  </w:endnote>
  <w:endnote w:type="continuationSeparator" w:id="0">
    <w:p w:rsidR="002356EF" w:rsidRDefault="002356EF" w:rsidP="0063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61" w:rsidRPr="00B5781C" w:rsidRDefault="00891B61" w:rsidP="0063053D">
    <w:pPr>
      <w:pStyle w:val="Footer"/>
      <w:rPr>
        <w:rFonts w:cs="Arial"/>
        <w:i/>
        <w:iCs/>
      </w:rPr>
    </w:pPr>
    <w:r>
      <w:tab/>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F40F59" w:rsidRPr="00F40F59">
      <w:rPr>
        <w:b/>
        <w:bCs/>
        <w:noProof/>
      </w:rPr>
      <w:t>2</w:t>
    </w:r>
    <w:r w:rsidRPr="008E6250">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61" w:rsidRPr="004E57BB" w:rsidRDefault="00891B61">
    <w:pPr>
      <w:pStyle w:val="Footer"/>
      <w:rPr>
        <w:rFonts w:cs="Arial"/>
        <w:i/>
        <w:iCs/>
      </w:rPr>
    </w:pPr>
    <w:r>
      <w:tab/>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F40F59" w:rsidRPr="00F40F59">
      <w:rPr>
        <w:b/>
        <w:bCs/>
        <w:noProof/>
      </w:rPr>
      <w:t>1</w:t>
    </w:r>
    <w:r w:rsidRPr="008E6250">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EF" w:rsidRDefault="002356EF" w:rsidP="0063053D">
      <w:r>
        <w:separator/>
      </w:r>
    </w:p>
  </w:footnote>
  <w:footnote w:type="continuationSeparator" w:id="0">
    <w:p w:rsidR="002356EF" w:rsidRDefault="002356EF" w:rsidP="00630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61" w:rsidRPr="004C35A6" w:rsidRDefault="00891B61" w:rsidP="0063053D">
    <w:pPr>
      <w:pStyle w:val="Header"/>
    </w:pPr>
    <w:r>
      <w:rPr>
        <w:sz w:val="22"/>
      </w:rPr>
      <w:t>L1500068-v1</w:t>
    </w:r>
    <w:r w:rsidRPr="00E4540E">
      <w:rPr>
        <w:sz w:val="22"/>
      </w:rPr>
      <w:t xml:space="preserve">, </w:t>
    </w:r>
    <w:r>
      <w:rPr>
        <w:sz w:val="22"/>
      </w:rPr>
      <w:t xml:space="preserve">TRB Charge: </w:t>
    </w:r>
    <w:r w:rsidRPr="00953C16">
      <w:rPr>
        <w:sz w:val="22"/>
      </w:rPr>
      <w:t xml:space="preserve">Review of the </w:t>
    </w:r>
    <w:r>
      <w:rPr>
        <w:sz w:val="22"/>
      </w:rPr>
      <w:t xml:space="preserve">Hardware Injection </w:t>
    </w:r>
    <w:r w:rsidRPr="00953C16">
      <w:rPr>
        <w:sz w:val="22"/>
      </w:rPr>
      <w:t>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D5E"/>
    <w:multiLevelType w:val="hybridMultilevel"/>
    <w:tmpl w:val="EDC077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C62B1"/>
    <w:multiLevelType w:val="hybridMultilevel"/>
    <w:tmpl w:val="DCBA4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C4C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0117321"/>
    <w:multiLevelType w:val="hybridMultilevel"/>
    <w:tmpl w:val="F64A3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24AF8"/>
    <w:rsid w:val="00026454"/>
    <w:rsid w:val="00042FB6"/>
    <w:rsid w:val="0005516E"/>
    <w:rsid w:val="000565F0"/>
    <w:rsid w:val="000610D9"/>
    <w:rsid w:val="00063B3C"/>
    <w:rsid w:val="00063DCF"/>
    <w:rsid w:val="0007564E"/>
    <w:rsid w:val="00085E94"/>
    <w:rsid w:val="0009053E"/>
    <w:rsid w:val="00097DA6"/>
    <w:rsid w:val="000A1D78"/>
    <w:rsid w:val="000A3EF6"/>
    <w:rsid w:val="000A520D"/>
    <w:rsid w:val="000A56DC"/>
    <w:rsid w:val="000A5C03"/>
    <w:rsid w:val="000B4333"/>
    <w:rsid w:val="000D3430"/>
    <w:rsid w:val="000D5B92"/>
    <w:rsid w:val="000D7B47"/>
    <w:rsid w:val="000E4185"/>
    <w:rsid w:val="000E5EE6"/>
    <w:rsid w:val="000F415E"/>
    <w:rsid w:val="0010182E"/>
    <w:rsid w:val="00107F5A"/>
    <w:rsid w:val="00110AB2"/>
    <w:rsid w:val="00122297"/>
    <w:rsid w:val="00126FDF"/>
    <w:rsid w:val="00155C89"/>
    <w:rsid w:val="001568F1"/>
    <w:rsid w:val="001572D2"/>
    <w:rsid w:val="001732E3"/>
    <w:rsid w:val="00183846"/>
    <w:rsid w:val="00186CAA"/>
    <w:rsid w:val="001A5978"/>
    <w:rsid w:val="001B35CC"/>
    <w:rsid w:val="001B44F5"/>
    <w:rsid w:val="001B733C"/>
    <w:rsid w:val="001C664A"/>
    <w:rsid w:val="001E0731"/>
    <w:rsid w:val="001E33D9"/>
    <w:rsid w:val="001E6D1F"/>
    <w:rsid w:val="001E7F12"/>
    <w:rsid w:val="001F0106"/>
    <w:rsid w:val="001F7B9B"/>
    <w:rsid w:val="00200765"/>
    <w:rsid w:val="00202A8C"/>
    <w:rsid w:val="00210013"/>
    <w:rsid w:val="00210308"/>
    <w:rsid w:val="0021178D"/>
    <w:rsid w:val="00223B91"/>
    <w:rsid w:val="002244B2"/>
    <w:rsid w:val="0023423F"/>
    <w:rsid w:val="002356EF"/>
    <w:rsid w:val="002358D4"/>
    <w:rsid w:val="002503F3"/>
    <w:rsid w:val="002506D2"/>
    <w:rsid w:val="00252795"/>
    <w:rsid w:val="00253690"/>
    <w:rsid w:val="00256361"/>
    <w:rsid w:val="00263CDC"/>
    <w:rsid w:val="002670AC"/>
    <w:rsid w:val="00280C53"/>
    <w:rsid w:val="00281923"/>
    <w:rsid w:val="00283017"/>
    <w:rsid w:val="002968A5"/>
    <w:rsid w:val="002A2ABB"/>
    <w:rsid w:val="002A3708"/>
    <w:rsid w:val="002C18EE"/>
    <w:rsid w:val="002E0C4C"/>
    <w:rsid w:val="002E61BE"/>
    <w:rsid w:val="002F2C5F"/>
    <w:rsid w:val="003020E5"/>
    <w:rsid w:val="00303999"/>
    <w:rsid w:val="00306B96"/>
    <w:rsid w:val="00306D68"/>
    <w:rsid w:val="00314F0B"/>
    <w:rsid w:val="003244A9"/>
    <w:rsid w:val="0033084C"/>
    <w:rsid w:val="0033462A"/>
    <w:rsid w:val="00344733"/>
    <w:rsid w:val="003455CD"/>
    <w:rsid w:val="0034778D"/>
    <w:rsid w:val="00357315"/>
    <w:rsid w:val="0037033D"/>
    <w:rsid w:val="0037599B"/>
    <w:rsid w:val="0038078D"/>
    <w:rsid w:val="003A23CA"/>
    <w:rsid w:val="003A4214"/>
    <w:rsid w:val="003B17E3"/>
    <w:rsid w:val="003B48CC"/>
    <w:rsid w:val="003B55AE"/>
    <w:rsid w:val="003C0F8E"/>
    <w:rsid w:val="003C1E63"/>
    <w:rsid w:val="003D45C5"/>
    <w:rsid w:val="003D6316"/>
    <w:rsid w:val="004118D4"/>
    <w:rsid w:val="004371E8"/>
    <w:rsid w:val="00467EEC"/>
    <w:rsid w:val="00477DD2"/>
    <w:rsid w:val="00485E97"/>
    <w:rsid w:val="004A1108"/>
    <w:rsid w:val="004A58C3"/>
    <w:rsid w:val="004B0504"/>
    <w:rsid w:val="004B34F9"/>
    <w:rsid w:val="004B447D"/>
    <w:rsid w:val="004B5836"/>
    <w:rsid w:val="004B7B3B"/>
    <w:rsid w:val="004C35A6"/>
    <w:rsid w:val="004C4E7F"/>
    <w:rsid w:val="004C723B"/>
    <w:rsid w:val="004C7606"/>
    <w:rsid w:val="004E263B"/>
    <w:rsid w:val="004E550E"/>
    <w:rsid w:val="004E57BB"/>
    <w:rsid w:val="004F65D8"/>
    <w:rsid w:val="00507E3A"/>
    <w:rsid w:val="00530957"/>
    <w:rsid w:val="005324AA"/>
    <w:rsid w:val="00535E67"/>
    <w:rsid w:val="005477F4"/>
    <w:rsid w:val="005564BE"/>
    <w:rsid w:val="0057103E"/>
    <w:rsid w:val="005802DB"/>
    <w:rsid w:val="00591101"/>
    <w:rsid w:val="005C5F1C"/>
    <w:rsid w:val="00615E1B"/>
    <w:rsid w:val="00622A51"/>
    <w:rsid w:val="0063053D"/>
    <w:rsid w:val="0063302B"/>
    <w:rsid w:val="00633188"/>
    <w:rsid w:val="0064618D"/>
    <w:rsid w:val="00674686"/>
    <w:rsid w:val="00686C7F"/>
    <w:rsid w:val="00697A05"/>
    <w:rsid w:val="006B178C"/>
    <w:rsid w:val="006B6D53"/>
    <w:rsid w:val="006D3FAB"/>
    <w:rsid w:val="006D6987"/>
    <w:rsid w:val="006D6B62"/>
    <w:rsid w:val="006E04BC"/>
    <w:rsid w:val="00704347"/>
    <w:rsid w:val="00713535"/>
    <w:rsid w:val="00730809"/>
    <w:rsid w:val="00732623"/>
    <w:rsid w:val="00741740"/>
    <w:rsid w:val="00743E32"/>
    <w:rsid w:val="007542BD"/>
    <w:rsid w:val="00754361"/>
    <w:rsid w:val="00754E39"/>
    <w:rsid w:val="00766939"/>
    <w:rsid w:val="007679D8"/>
    <w:rsid w:val="00775DEF"/>
    <w:rsid w:val="00777B88"/>
    <w:rsid w:val="00787461"/>
    <w:rsid w:val="00792E84"/>
    <w:rsid w:val="0079332F"/>
    <w:rsid w:val="0079544F"/>
    <w:rsid w:val="00795D6C"/>
    <w:rsid w:val="007E1B9A"/>
    <w:rsid w:val="007F00B4"/>
    <w:rsid w:val="00800BFD"/>
    <w:rsid w:val="00800F27"/>
    <w:rsid w:val="008108A4"/>
    <w:rsid w:val="00812EEC"/>
    <w:rsid w:val="00825C2F"/>
    <w:rsid w:val="00826633"/>
    <w:rsid w:val="00826DF5"/>
    <w:rsid w:val="00842D61"/>
    <w:rsid w:val="00864A84"/>
    <w:rsid w:val="0087517C"/>
    <w:rsid w:val="008817AA"/>
    <w:rsid w:val="00882262"/>
    <w:rsid w:val="00891B61"/>
    <w:rsid w:val="008A38BB"/>
    <w:rsid w:val="008B4C41"/>
    <w:rsid w:val="008C1564"/>
    <w:rsid w:val="008C3986"/>
    <w:rsid w:val="008C5FD8"/>
    <w:rsid w:val="008E05EA"/>
    <w:rsid w:val="008E0908"/>
    <w:rsid w:val="008E0E5C"/>
    <w:rsid w:val="008E1791"/>
    <w:rsid w:val="008E2B36"/>
    <w:rsid w:val="008E6250"/>
    <w:rsid w:val="008E776D"/>
    <w:rsid w:val="008F0F0C"/>
    <w:rsid w:val="008F53CC"/>
    <w:rsid w:val="00906B6D"/>
    <w:rsid w:val="00944022"/>
    <w:rsid w:val="0094543B"/>
    <w:rsid w:val="00945849"/>
    <w:rsid w:val="00953C16"/>
    <w:rsid w:val="009B4D4D"/>
    <w:rsid w:val="009B61AD"/>
    <w:rsid w:val="009C2C67"/>
    <w:rsid w:val="009D2917"/>
    <w:rsid w:val="009D4D73"/>
    <w:rsid w:val="009E2D37"/>
    <w:rsid w:val="009E72CB"/>
    <w:rsid w:val="009F50FF"/>
    <w:rsid w:val="009F6F3C"/>
    <w:rsid w:val="00A00E73"/>
    <w:rsid w:val="00A12123"/>
    <w:rsid w:val="00A27152"/>
    <w:rsid w:val="00A51002"/>
    <w:rsid w:val="00A71C17"/>
    <w:rsid w:val="00A868EC"/>
    <w:rsid w:val="00A874DC"/>
    <w:rsid w:val="00A912BE"/>
    <w:rsid w:val="00AA7BDC"/>
    <w:rsid w:val="00AB5EB1"/>
    <w:rsid w:val="00AC2C21"/>
    <w:rsid w:val="00AC7582"/>
    <w:rsid w:val="00AD0E2B"/>
    <w:rsid w:val="00AD3254"/>
    <w:rsid w:val="00AD52A9"/>
    <w:rsid w:val="00AE7D9B"/>
    <w:rsid w:val="00B10E44"/>
    <w:rsid w:val="00B15D31"/>
    <w:rsid w:val="00B176ED"/>
    <w:rsid w:val="00B23931"/>
    <w:rsid w:val="00B508AD"/>
    <w:rsid w:val="00B52937"/>
    <w:rsid w:val="00B56E89"/>
    <w:rsid w:val="00B5781C"/>
    <w:rsid w:val="00B6042D"/>
    <w:rsid w:val="00B60F18"/>
    <w:rsid w:val="00B67F7F"/>
    <w:rsid w:val="00B773EE"/>
    <w:rsid w:val="00B81252"/>
    <w:rsid w:val="00B8421F"/>
    <w:rsid w:val="00B85432"/>
    <w:rsid w:val="00B93C6A"/>
    <w:rsid w:val="00BA1900"/>
    <w:rsid w:val="00BA6EAA"/>
    <w:rsid w:val="00BB7B01"/>
    <w:rsid w:val="00BD2729"/>
    <w:rsid w:val="00BD7FC8"/>
    <w:rsid w:val="00C1370A"/>
    <w:rsid w:val="00C160B2"/>
    <w:rsid w:val="00C161A9"/>
    <w:rsid w:val="00C21367"/>
    <w:rsid w:val="00C26F14"/>
    <w:rsid w:val="00C27A1A"/>
    <w:rsid w:val="00C37689"/>
    <w:rsid w:val="00C43DBE"/>
    <w:rsid w:val="00C70257"/>
    <w:rsid w:val="00C74324"/>
    <w:rsid w:val="00C77415"/>
    <w:rsid w:val="00C800AF"/>
    <w:rsid w:val="00C81A47"/>
    <w:rsid w:val="00C84977"/>
    <w:rsid w:val="00C96916"/>
    <w:rsid w:val="00CD3BA3"/>
    <w:rsid w:val="00CD4DAB"/>
    <w:rsid w:val="00CD5309"/>
    <w:rsid w:val="00CD7D43"/>
    <w:rsid w:val="00CE61AF"/>
    <w:rsid w:val="00CF5225"/>
    <w:rsid w:val="00D0068F"/>
    <w:rsid w:val="00D11DED"/>
    <w:rsid w:val="00D12409"/>
    <w:rsid w:val="00D17708"/>
    <w:rsid w:val="00D24BC6"/>
    <w:rsid w:val="00D27313"/>
    <w:rsid w:val="00D620D0"/>
    <w:rsid w:val="00D67AB7"/>
    <w:rsid w:val="00D8081F"/>
    <w:rsid w:val="00D961DE"/>
    <w:rsid w:val="00DB5CDB"/>
    <w:rsid w:val="00DC2C9D"/>
    <w:rsid w:val="00DC6A6D"/>
    <w:rsid w:val="00DD4125"/>
    <w:rsid w:val="00DD6C10"/>
    <w:rsid w:val="00DE0BAE"/>
    <w:rsid w:val="00DE13B0"/>
    <w:rsid w:val="00DE45E9"/>
    <w:rsid w:val="00DE50DC"/>
    <w:rsid w:val="00DE5ED1"/>
    <w:rsid w:val="00DE72BD"/>
    <w:rsid w:val="00DF7016"/>
    <w:rsid w:val="00E057E6"/>
    <w:rsid w:val="00E0645E"/>
    <w:rsid w:val="00E06748"/>
    <w:rsid w:val="00E16B5A"/>
    <w:rsid w:val="00E26251"/>
    <w:rsid w:val="00E34B27"/>
    <w:rsid w:val="00E4540E"/>
    <w:rsid w:val="00E57768"/>
    <w:rsid w:val="00E579BD"/>
    <w:rsid w:val="00E72A2E"/>
    <w:rsid w:val="00E866F1"/>
    <w:rsid w:val="00E870C2"/>
    <w:rsid w:val="00E92A1D"/>
    <w:rsid w:val="00EA3354"/>
    <w:rsid w:val="00EC4E46"/>
    <w:rsid w:val="00EC6AC0"/>
    <w:rsid w:val="00ED0C86"/>
    <w:rsid w:val="00ED4513"/>
    <w:rsid w:val="00ED6F42"/>
    <w:rsid w:val="00ED79E6"/>
    <w:rsid w:val="00EE2828"/>
    <w:rsid w:val="00EE784F"/>
    <w:rsid w:val="00EF1BC6"/>
    <w:rsid w:val="00F03EFB"/>
    <w:rsid w:val="00F07999"/>
    <w:rsid w:val="00F17162"/>
    <w:rsid w:val="00F40F59"/>
    <w:rsid w:val="00F426AA"/>
    <w:rsid w:val="00F56A97"/>
    <w:rsid w:val="00F77056"/>
    <w:rsid w:val="00F90A15"/>
    <w:rsid w:val="00FD5962"/>
    <w:rsid w:val="00FE2A47"/>
    <w:rsid w:val="00FE4BC9"/>
    <w:rsid w:val="00FF049E"/>
    <w:rsid w:val="00FF0FB0"/>
    <w:rsid w:val="00FF11AE"/>
    <w:rsid w:val="00FF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B8C5CB-0869-481A-AF1C-2F5BE514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3D"/>
    <w:pPr>
      <w:jc w:val="both"/>
    </w:pPr>
    <w:rPr>
      <w:rFonts w:ascii="Arial" w:hAnsi="Arial"/>
      <w:sz w:val="24"/>
      <w:szCs w:val="24"/>
    </w:rPr>
  </w:style>
  <w:style w:type="paragraph" w:styleId="Heading1">
    <w:name w:val="heading 1"/>
    <w:basedOn w:val="Normal"/>
    <w:next w:val="Normal"/>
    <w:qFormat/>
    <w:rsid w:val="00ED4513"/>
    <w:pPr>
      <w:keepNext/>
      <w:numPr>
        <w:numId w:val="1"/>
      </w:numPr>
      <w:outlineLvl w:val="0"/>
    </w:pPr>
    <w:rPr>
      <w:b/>
      <w:iCs/>
      <w:u w:val="single"/>
    </w:rPr>
  </w:style>
  <w:style w:type="paragraph" w:styleId="Heading2">
    <w:name w:val="heading 2"/>
    <w:basedOn w:val="Normal"/>
    <w:next w:val="Normal"/>
    <w:link w:val="Heading2Char"/>
    <w:unhideWhenUsed/>
    <w:qFormat/>
    <w:rsid w:val="00ED4513"/>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D4513"/>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D451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D451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D451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D451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D45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D45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4E46"/>
    <w:pPr>
      <w:ind w:left="720"/>
      <w:contextualSpacing/>
    </w:pPr>
  </w:style>
  <w:style w:type="paragraph" w:styleId="FootnoteText">
    <w:name w:val="footnote text"/>
    <w:basedOn w:val="Normal"/>
    <w:link w:val="FootnoteTextChar"/>
    <w:rsid w:val="000D7B47"/>
    <w:rPr>
      <w:sz w:val="20"/>
      <w:szCs w:val="20"/>
    </w:rPr>
  </w:style>
  <w:style w:type="character" w:customStyle="1" w:styleId="FootnoteTextChar">
    <w:name w:val="Footnote Text Char"/>
    <w:basedOn w:val="DefaultParagraphFont"/>
    <w:link w:val="FootnoteText"/>
    <w:rsid w:val="000D7B47"/>
  </w:style>
  <w:style w:type="character" w:styleId="FootnoteReference">
    <w:name w:val="footnote reference"/>
    <w:basedOn w:val="DefaultParagraphFont"/>
    <w:rsid w:val="000D7B47"/>
    <w:rPr>
      <w:vertAlign w:val="superscript"/>
    </w:rPr>
  </w:style>
  <w:style w:type="character" w:customStyle="1" w:styleId="FooterChar">
    <w:name w:val="Footer Char"/>
    <w:basedOn w:val="DefaultParagraphFont"/>
    <w:link w:val="Footer"/>
    <w:uiPriority w:val="99"/>
    <w:rsid w:val="008E6250"/>
    <w:rPr>
      <w:sz w:val="24"/>
      <w:szCs w:val="24"/>
    </w:rPr>
  </w:style>
  <w:style w:type="character" w:styleId="Hyperlink">
    <w:name w:val="Hyperlink"/>
    <w:basedOn w:val="DefaultParagraphFont"/>
    <w:uiPriority w:val="99"/>
    <w:rsid w:val="000D5B92"/>
    <w:rPr>
      <w:color w:val="0000FF" w:themeColor="hyperlink"/>
      <w:u w:val="single"/>
    </w:rPr>
  </w:style>
  <w:style w:type="paragraph" w:styleId="BalloonText">
    <w:name w:val="Balloon Text"/>
    <w:basedOn w:val="Normal"/>
    <w:link w:val="BalloonTextChar"/>
    <w:rsid w:val="001C664A"/>
    <w:rPr>
      <w:rFonts w:ascii="Tahoma" w:hAnsi="Tahoma" w:cs="Tahoma"/>
      <w:sz w:val="16"/>
      <w:szCs w:val="16"/>
    </w:rPr>
  </w:style>
  <w:style w:type="character" w:customStyle="1" w:styleId="BalloonTextChar">
    <w:name w:val="Balloon Text Char"/>
    <w:basedOn w:val="DefaultParagraphFont"/>
    <w:link w:val="BalloonText"/>
    <w:rsid w:val="001C664A"/>
    <w:rPr>
      <w:rFonts w:ascii="Tahoma" w:hAnsi="Tahoma" w:cs="Tahoma"/>
      <w:sz w:val="16"/>
      <w:szCs w:val="16"/>
    </w:rPr>
  </w:style>
  <w:style w:type="paragraph" w:styleId="Caption">
    <w:name w:val="caption"/>
    <w:basedOn w:val="Normal"/>
    <w:next w:val="Normal"/>
    <w:unhideWhenUsed/>
    <w:qFormat/>
    <w:rsid w:val="00E06748"/>
    <w:pPr>
      <w:spacing w:after="200"/>
    </w:pPr>
    <w:rPr>
      <w:i/>
      <w:iCs/>
      <w:color w:val="1F497D" w:themeColor="text2"/>
      <w:sz w:val="18"/>
      <w:szCs w:val="18"/>
    </w:rPr>
  </w:style>
  <w:style w:type="character" w:customStyle="1" w:styleId="Heading2Char">
    <w:name w:val="Heading 2 Char"/>
    <w:basedOn w:val="DefaultParagraphFont"/>
    <w:link w:val="Heading2"/>
    <w:rsid w:val="00ED45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D45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D451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D451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D451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D451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D4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D45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D4513"/>
    <w:pPr>
      <w:keepLines/>
      <w:numPr>
        <w:numId w:val="0"/>
      </w:numPr>
      <w:spacing w:before="240" w:line="259" w:lineRule="auto"/>
      <w:outlineLvl w:val="9"/>
    </w:pPr>
    <w:rPr>
      <w:rFonts w:asciiTheme="majorHAnsi" w:eastAsiaTheme="majorEastAsia" w:hAnsiTheme="majorHAnsi" w:cstheme="majorBidi"/>
      <w:b w:val="0"/>
      <w:iCs w:val="0"/>
      <w:color w:val="365F91" w:themeColor="accent1" w:themeShade="BF"/>
      <w:sz w:val="32"/>
      <w:szCs w:val="32"/>
      <w:u w:val="none"/>
    </w:rPr>
  </w:style>
  <w:style w:type="paragraph" w:styleId="TOC1">
    <w:name w:val="toc 1"/>
    <w:basedOn w:val="Normal"/>
    <w:next w:val="Normal"/>
    <w:autoRedefine/>
    <w:uiPriority w:val="39"/>
    <w:unhideWhenUsed/>
    <w:rsid w:val="00ED4513"/>
    <w:pPr>
      <w:spacing w:after="100"/>
    </w:pPr>
  </w:style>
  <w:style w:type="paragraph" w:styleId="TOC2">
    <w:name w:val="toc 2"/>
    <w:basedOn w:val="Normal"/>
    <w:next w:val="Normal"/>
    <w:autoRedefine/>
    <w:uiPriority w:val="39"/>
    <w:unhideWhenUsed/>
    <w:rsid w:val="00ED4513"/>
    <w:pPr>
      <w:spacing w:after="100"/>
      <w:ind w:left="240"/>
    </w:pPr>
  </w:style>
  <w:style w:type="table" w:styleId="TableGrid">
    <w:name w:val="Table Grid"/>
    <w:basedOn w:val="TableNormal"/>
    <w:rsid w:val="00C9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5477F4"/>
    <w:pPr>
      <w:jc w:val="left"/>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cc.ligo.org/LIGO-G1800787" TargetMode="External"/><Relationship Id="rId18" Type="http://schemas.openxmlformats.org/officeDocument/2006/relationships/hyperlink" Target="https://dcc.ligo.org/LIGO-G180078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cc.ligo.org/LIGO-D0900623" TargetMode="External"/><Relationship Id="rId17" Type="http://schemas.openxmlformats.org/officeDocument/2006/relationships/hyperlink" Target="https://dcc.ligo.org/LIGO-G1800787" TargetMode="External"/><Relationship Id="rId2" Type="http://schemas.openxmlformats.org/officeDocument/2006/relationships/numbering" Target="numbering.xml"/><Relationship Id="rId16" Type="http://schemas.openxmlformats.org/officeDocument/2006/relationships/hyperlink" Target="https://dcc.ligo.org/LIGO-D110025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G1800787" TargetMode="External"/><Relationship Id="rId5" Type="http://schemas.openxmlformats.org/officeDocument/2006/relationships/webSettings" Target="webSettings.xml"/><Relationship Id="rId15" Type="http://schemas.openxmlformats.org/officeDocument/2006/relationships/hyperlink" Target="https://dcc.ligo.org/LIGO-D1100247" TargetMode="External"/><Relationship Id="rId23" Type="http://schemas.openxmlformats.org/officeDocument/2006/relationships/theme" Target="theme/theme1.xml"/><Relationship Id="rId10" Type="http://schemas.openxmlformats.org/officeDocument/2006/relationships/hyperlink" Target="https://services.ligo-la.caltech.edu/FRS/show_bug.cgi?id=1046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cc.ligo.org/LIGO-G1800717" TargetMode="External"/><Relationship Id="rId14" Type="http://schemas.openxmlformats.org/officeDocument/2006/relationships/hyperlink" Target="https://dcc.ligo.org/LIGO-D100186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8910-9566-4308-8143-E7164B7C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Wood</dc:creator>
  <cp:lastModifiedBy>Dennis Coyne</cp:lastModifiedBy>
  <cp:revision>15</cp:revision>
  <cp:lastPrinted>2015-04-18T23:20:00Z</cp:lastPrinted>
  <dcterms:created xsi:type="dcterms:W3CDTF">2018-04-20T21:49:00Z</dcterms:created>
  <dcterms:modified xsi:type="dcterms:W3CDTF">2018-04-21T00:18:00Z</dcterms:modified>
</cp:coreProperties>
</file>