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104" w:type="dxa"/>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1049"/>
        <w:gridCol w:w="7055"/>
      </w:tblGrid>
      <w:tr w:rsidR="00C22B7B" w:rsidRPr="000A79CE" w14:paraId="731CAF6F" w14:textId="77777777" w:rsidTr="004449B8">
        <w:tc>
          <w:tcPr>
            <w:tcW w:w="1049" w:type="dxa"/>
            <w:tcBorders>
              <w:top w:val="nil"/>
              <w:bottom w:val="nil"/>
            </w:tcBorders>
            <w:vAlign w:val="center"/>
          </w:tcPr>
          <w:p w14:paraId="706AD302" w14:textId="77777777" w:rsidR="00C22B7B" w:rsidRPr="00C22B7B" w:rsidRDefault="00C22B7B" w:rsidP="00C22B7B">
            <w:pPr>
              <w:ind w:firstLine="0"/>
              <w:jc w:val="right"/>
              <w:rPr>
                <w:rFonts w:asciiTheme="majorHAnsi" w:hAnsiTheme="majorHAnsi"/>
                <w:i/>
                <w:color w:val="17365D" w:themeColor="text2" w:themeShade="BF"/>
                <w:sz w:val="24"/>
                <w:szCs w:val="24"/>
              </w:rPr>
            </w:pPr>
            <w:r w:rsidRPr="00C22B7B">
              <w:rPr>
                <w:rFonts w:asciiTheme="majorHAnsi" w:hAnsiTheme="majorHAnsi"/>
                <w:i/>
                <w:color w:val="17365D" w:themeColor="text2" w:themeShade="BF"/>
                <w:sz w:val="24"/>
                <w:szCs w:val="24"/>
              </w:rPr>
              <w:t>Title</w:t>
            </w:r>
          </w:p>
        </w:tc>
        <w:tc>
          <w:tcPr>
            <w:tcW w:w="7055" w:type="dxa"/>
            <w:tcBorders>
              <w:top w:val="nil"/>
              <w:bottom w:val="nil"/>
            </w:tcBorders>
            <w:vAlign w:val="center"/>
          </w:tcPr>
          <w:p w14:paraId="4D2DDA4E" w14:textId="5959F549" w:rsidR="00C22B7B" w:rsidRPr="00C22B7B" w:rsidRDefault="00252B77" w:rsidP="004449B8">
            <w:pPr>
              <w:ind w:firstLine="0"/>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 xml:space="preserve">OMC DCPD </w:t>
            </w:r>
            <w:r w:rsidR="00A42EF1">
              <w:rPr>
                <w:rFonts w:asciiTheme="majorHAnsi" w:hAnsiTheme="majorHAnsi"/>
                <w:i/>
                <w:color w:val="17365D" w:themeColor="text2" w:themeShade="BF"/>
                <w:sz w:val="24"/>
                <w:szCs w:val="24"/>
              </w:rPr>
              <w:t>Signal</w:t>
            </w:r>
            <w:r>
              <w:rPr>
                <w:rFonts w:asciiTheme="majorHAnsi" w:hAnsiTheme="majorHAnsi"/>
                <w:i/>
                <w:color w:val="17365D" w:themeColor="text2" w:themeShade="BF"/>
                <w:sz w:val="24"/>
                <w:szCs w:val="24"/>
              </w:rPr>
              <w:t xml:space="preserve"> Chain Analysis</w:t>
            </w:r>
          </w:p>
        </w:tc>
      </w:tr>
      <w:tr w:rsidR="00C22B7B" w14:paraId="0D29CE03" w14:textId="77777777" w:rsidTr="004449B8">
        <w:tc>
          <w:tcPr>
            <w:tcW w:w="1049" w:type="dxa"/>
            <w:tcBorders>
              <w:top w:val="nil"/>
              <w:bottom w:val="nil"/>
            </w:tcBorders>
            <w:vAlign w:val="center"/>
          </w:tcPr>
          <w:p w14:paraId="2E833202" w14:textId="77777777" w:rsidR="00C22B7B" w:rsidRPr="00C22B7B" w:rsidRDefault="00AD560B" w:rsidP="00C22B7B">
            <w:pPr>
              <w:ind w:firstLine="0"/>
              <w:jc w:val="right"/>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Author</w:t>
            </w:r>
          </w:p>
        </w:tc>
        <w:tc>
          <w:tcPr>
            <w:tcW w:w="7055" w:type="dxa"/>
            <w:tcBorders>
              <w:top w:val="nil"/>
              <w:bottom w:val="nil"/>
            </w:tcBorders>
            <w:vAlign w:val="center"/>
          </w:tcPr>
          <w:p w14:paraId="7A2233CA" w14:textId="77777777" w:rsidR="00C22B7B" w:rsidRPr="00C22B7B" w:rsidRDefault="00AD560B" w:rsidP="00C22B7B">
            <w:pPr>
              <w:ind w:firstLine="0"/>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R. Abbott, Caltech</w:t>
            </w:r>
          </w:p>
        </w:tc>
      </w:tr>
      <w:tr w:rsidR="00C22B7B" w14:paraId="02AC322B" w14:textId="77777777" w:rsidTr="004449B8">
        <w:tc>
          <w:tcPr>
            <w:tcW w:w="1049" w:type="dxa"/>
            <w:tcBorders>
              <w:top w:val="nil"/>
              <w:bottom w:val="nil"/>
            </w:tcBorders>
            <w:vAlign w:val="center"/>
          </w:tcPr>
          <w:p w14:paraId="17D105DC" w14:textId="77777777" w:rsidR="00C22B7B" w:rsidRDefault="00C22B7B" w:rsidP="00C22B7B">
            <w:pPr>
              <w:ind w:firstLine="0"/>
              <w:jc w:val="right"/>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Date</w:t>
            </w:r>
          </w:p>
        </w:tc>
        <w:tc>
          <w:tcPr>
            <w:tcW w:w="7055" w:type="dxa"/>
            <w:tcBorders>
              <w:top w:val="nil"/>
              <w:bottom w:val="nil"/>
            </w:tcBorders>
            <w:vAlign w:val="center"/>
          </w:tcPr>
          <w:p w14:paraId="48DA8850" w14:textId="440ECC09" w:rsidR="00C22B7B" w:rsidRPr="00C22B7B" w:rsidRDefault="000E413B" w:rsidP="00C22B7B">
            <w:pPr>
              <w:ind w:firstLine="0"/>
              <w:rPr>
                <w:rFonts w:asciiTheme="majorHAnsi" w:hAnsiTheme="majorHAnsi"/>
                <w:i/>
                <w:color w:val="17365D" w:themeColor="text2" w:themeShade="BF"/>
                <w:sz w:val="24"/>
                <w:szCs w:val="24"/>
              </w:rPr>
            </w:pPr>
            <w:r>
              <w:rPr>
                <w:rFonts w:asciiTheme="majorHAnsi" w:hAnsiTheme="majorHAnsi"/>
                <w:i/>
                <w:color w:val="17365D" w:themeColor="text2" w:themeShade="BF"/>
                <w:sz w:val="24"/>
                <w:szCs w:val="24"/>
              </w:rPr>
              <w:t>25 February 2021</w:t>
            </w:r>
          </w:p>
        </w:tc>
      </w:tr>
    </w:tbl>
    <w:p w14:paraId="230D4B94" w14:textId="77777777" w:rsidR="00D34641" w:rsidRPr="00303C28" w:rsidRDefault="00234CB5" w:rsidP="00E428FF">
      <w:r>
        <w:rPr>
          <w:noProof/>
        </w:rPr>
        <mc:AlternateContent>
          <mc:Choice Requires="wps">
            <w:drawing>
              <wp:anchor distT="0" distB="0" distL="114300" distR="114300" simplePos="0" relativeHeight="251658752" behindDoc="0" locked="0" layoutInCell="1" allowOverlap="1" wp14:anchorId="62D63D98" wp14:editId="5005CF01">
                <wp:simplePos x="0" y="0"/>
                <wp:positionH relativeFrom="column">
                  <wp:posOffset>-119177</wp:posOffset>
                </wp:positionH>
                <wp:positionV relativeFrom="paragraph">
                  <wp:posOffset>116540</wp:posOffset>
                </wp:positionV>
                <wp:extent cx="5804403" cy="0"/>
                <wp:effectExtent l="38100" t="38100" r="63500" b="95250"/>
                <wp:wrapNone/>
                <wp:docPr id="1" name="Straight Connector 1"/>
                <wp:cNvGraphicFramePr/>
                <a:graphic xmlns:a="http://schemas.openxmlformats.org/drawingml/2006/main">
                  <a:graphicData uri="http://schemas.microsoft.com/office/word/2010/wordprocessingShape">
                    <wps:wsp>
                      <wps:cNvCnPr/>
                      <wps:spPr>
                        <a:xfrm>
                          <a:off x="0" y="0"/>
                          <a:ext cx="5804403" cy="0"/>
                        </a:xfrm>
                        <a:prstGeom prst="line">
                          <a:avLst/>
                        </a:prstGeom>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34596B56" id="Straight Connector 1" o:spid="_x0000_s1026" style="position:absolute;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4pt,9.2pt" to="447.6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" strokecolor="#c0504d [3205]" strokeweight="2pt">
                <v:shadow on="t" color="black" opacity="24903f" origin=",.5" offset="0,.55556mm"/>
              </v:line>
            </w:pict>
          </mc:Fallback>
        </mc:AlternateContent>
      </w:r>
    </w:p>
    <w:p w14:paraId="501929D5" w14:textId="77777777" w:rsidR="003B65CC" w:rsidRPr="00AD560B" w:rsidRDefault="003B65CC" w:rsidP="008A4A60">
      <w:pPr>
        <w:pStyle w:val="Heading1"/>
        <w:numPr>
          <w:ilvl w:val="0"/>
          <w:numId w:val="32"/>
        </w:numPr>
      </w:pPr>
      <w:r w:rsidRPr="00AD560B">
        <w:t>Overview</w:t>
      </w:r>
    </w:p>
    <w:p w14:paraId="31DC3958" w14:textId="2285E0D8" w:rsidR="0043160D" w:rsidRDefault="00C77A84" w:rsidP="00831F48">
      <w:pPr>
        <w:pStyle w:val="MyBodyText"/>
      </w:pPr>
      <w:r>
        <w:t xml:space="preserve">Due to </w:t>
      </w:r>
      <w:r w:rsidR="0054091C">
        <w:t>the</w:t>
      </w:r>
      <w:r>
        <w:t xml:space="preserve"> redesign of t</w:t>
      </w:r>
      <w:r w:rsidR="00F57CB7">
        <w:t xml:space="preserve">he </w:t>
      </w:r>
      <w:r w:rsidR="00831F48">
        <w:t>new in-vacuum preamplifier</w:t>
      </w:r>
      <w:r>
        <w:t>s (</w:t>
      </w:r>
      <w:hyperlink r:id="rId10" w:history="1">
        <w:r w:rsidR="00342AA6" w:rsidRPr="00342AA6">
          <w:rPr>
            <w:rStyle w:val="Hyperlink"/>
          </w:rPr>
          <w:t>D2000592</w:t>
        </w:r>
      </w:hyperlink>
      <w:r>
        <w:t xml:space="preserve">) </w:t>
      </w:r>
      <w:r w:rsidR="00A31EEE">
        <w:t>certain</w:t>
      </w:r>
      <w:r>
        <w:t xml:space="preserve"> aspects of the main Gravitational Wave (GW) readout chain</w:t>
      </w:r>
      <w:r w:rsidR="00A31EEE">
        <w:t xml:space="preserve"> </w:t>
      </w:r>
      <w:r w:rsidR="009B07F1">
        <w:t>needs</w:t>
      </w:r>
      <w:r w:rsidR="00F84E10">
        <w:t xml:space="preserve"> to</w:t>
      </w:r>
      <w:r w:rsidR="00A31EEE">
        <w:t xml:space="preserve"> be re-examined. This note</w:t>
      </w:r>
      <w:r w:rsidR="00B17403">
        <w:t xml:space="preserve"> examines the following:</w:t>
      </w:r>
    </w:p>
    <w:p w14:paraId="048CF64C" w14:textId="357C971B" w:rsidR="005C757C" w:rsidRDefault="005C757C" w:rsidP="00B17403">
      <w:pPr>
        <w:pStyle w:val="MyBodyText"/>
        <w:numPr>
          <w:ilvl w:val="0"/>
          <w:numId w:val="34"/>
        </w:numPr>
      </w:pPr>
      <w:r>
        <w:t>A comparison of key new and old specifications for perspective</w:t>
      </w:r>
      <w:r w:rsidR="0054091C">
        <w:t>.</w:t>
      </w:r>
    </w:p>
    <w:p w14:paraId="07BDAD2C" w14:textId="46A283DD" w:rsidR="00B76A59" w:rsidRDefault="00B76A59" w:rsidP="00DC65A0">
      <w:pPr>
        <w:pStyle w:val="MyBodyText"/>
        <w:numPr>
          <w:ilvl w:val="0"/>
          <w:numId w:val="34"/>
        </w:numPr>
      </w:pPr>
      <w:r>
        <w:t>Functions supported by existing and proposed in-air interface chassis approach.</w:t>
      </w:r>
    </w:p>
    <w:p w14:paraId="7F7D9D4F" w14:textId="3A22D858" w:rsidR="0052098C" w:rsidRDefault="0052098C" w:rsidP="00B17403">
      <w:pPr>
        <w:pStyle w:val="MyBodyText"/>
        <w:numPr>
          <w:ilvl w:val="0"/>
          <w:numId w:val="34"/>
        </w:numPr>
      </w:pPr>
      <w:r>
        <w:t>The sensing capability of the new bias monitors</w:t>
      </w:r>
      <w:r w:rsidR="0054091C">
        <w:t>.</w:t>
      </w:r>
    </w:p>
    <w:p w14:paraId="55241E62" w14:textId="0F6894D8" w:rsidR="0052098C" w:rsidRDefault="007C7332" w:rsidP="00B17403">
      <w:pPr>
        <w:pStyle w:val="MyBodyText"/>
        <w:numPr>
          <w:ilvl w:val="0"/>
          <w:numId w:val="34"/>
        </w:numPr>
      </w:pPr>
      <w:r>
        <w:t>The calibration chain response</w:t>
      </w:r>
      <w:r w:rsidR="0054091C">
        <w:t>.</w:t>
      </w:r>
    </w:p>
    <w:p w14:paraId="3939275C" w14:textId="77777777" w:rsidR="00E93F57" w:rsidRDefault="00E93F57" w:rsidP="00E93F57">
      <w:pPr>
        <w:pStyle w:val="MyBodyText"/>
      </w:pPr>
    </w:p>
    <w:p w14:paraId="1BB1079B" w14:textId="4EAA5FB3" w:rsidR="00E93F57" w:rsidRDefault="00E93F57" w:rsidP="00E93F57">
      <w:pPr>
        <w:pStyle w:val="MyBodyText"/>
      </w:pPr>
      <w:r>
        <w:t>In addition to th</w:t>
      </w:r>
      <w:r w:rsidR="00342AA6">
        <w:t>e</w:t>
      </w:r>
      <w:r>
        <w:t xml:space="preserve"> elements above, the transition to the in-vacuum preamplifier design has the following aspects worthy of note:</w:t>
      </w:r>
    </w:p>
    <w:p w14:paraId="79262539" w14:textId="38FF223E" w:rsidR="00342AA6" w:rsidRDefault="00342AA6" w:rsidP="00342AA6">
      <w:pPr>
        <w:pStyle w:val="MyBodyText"/>
        <w:numPr>
          <w:ilvl w:val="0"/>
          <w:numId w:val="35"/>
        </w:numPr>
      </w:pPr>
      <w:r w:rsidRPr="00342AA6">
        <w:rPr>
          <w:b/>
          <w:bCs/>
        </w:rPr>
        <w:t>New Design is Dual Channel</w:t>
      </w:r>
      <w:r>
        <w:t xml:space="preserve"> - The old preamplifiers had a single transimpedance circuit per in-vacuum box resulting in the need for two preamplifiers boxes per OMC. The new preamplifiers are dual-channel designs, thus only one in-vacuum box is needed for a direct replacement. Upon the transition to BHD readout, a second dual in-vacuum preamplifier will be needed.</w:t>
      </w:r>
    </w:p>
    <w:p w14:paraId="3D2A0004" w14:textId="4125BBB8" w:rsidR="00342AA6" w:rsidRDefault="00DC65A0" w:rsidP="00342AA6">
      <w:pPr>
        <w:pStyle w:val="MyBodyText"/>
        <w:numPr>
          <w:ilvl w:val="0"/>
          <w:numId w:val="35"/>
        </w:numPr>
      </w:pPr>
      <w:r>
        <w:rPr>
          <w:b/>
          <w:bCs/>
        </w:rPr>
        <w:t>Move</w:t>
      </w:r>
      <w:r w:rsidR="00342AA6" w:rsidRPr="00342AA6">
        <w:rPr>
          <w:b/>
          <w:bCs/>
        </w:rPr>
        <w:t xml:space="preserve"> Preamplifiers o</w:t>
      </w:r>
      <w:r>
        <w:rPr>
          <w:b/>
          <w:bCs/>
        </w:rPr>
        <w:t>ff</w:t>
      </w:r>
      <w:r w:rsidR="00342AA6" w:rsidRPr="00342AA6">
        <w:rPr>
          <w:b/>
          <w:bCs/>
        </w:rPr>
        <w:t xml:space="preserve"> the OMC Structure</w:t>
      </w:r>
      <w:r w:rsidR="00342AA6">
        <w:t xml:space="preserve"> - The new dual preamplifier design uses a physically large enclosure that is considerably heavier than the old design</w:t>
      </w:r>
      <w:proofErr w:type="gramStart"/>
      <w:r w:rsidR="00342AA6">
        <w:t xml:space="preserve">.  </w:t>
      </w:r>
      <w:proofErr w:type="gramEnd"/>
      <w:r w:rsidR="00342AA6">
        <w:t>As a consequence, it would be beneficial to move the new preamplifier design off the OMC cage (which won’t even exist in 05) and onto the optical table. This will require a longer interface cable between the OMC breadboard and the preamplifier. The effects of this change must be carefully studied.</w:t>
      </w:r>
    </w:p>
    <w:p w14:paraId="26848016" w14:textId="69FD77F7" w:rsidR="00815CF4" w:rsidRDefault="00815CF4" w:rsidP="00342AA6">
      <w:pPr>
        <w:pStyle w:val="MyBodyText"/>
        <w:numPr>
          <w:ilvl w:val="0"/>
          <w:numId w:val="35"/>
        </w:numPr>
      </w:pPr>
      <w:r>
        <w:rPr>
          <w:b/>
          <w:bCs/>
        </w:rPr>
        <w:t xml:space="preserve">Fix </w:t>
      </w:r>
      <w:r w:rsidR="00DC65A0">
        <w:rPr>
          <w:b/>
          <w:bCs/>
        </w:rPr>
        <w:t>an</w:t>
      </w:r>
      <w:r>
        <w:rPr>
          <w:b/>
          <w:bCs/>
        </w:rPr>
        <w:t xml:space="preserve"> Inadvertent Grounding Problem</w:t>
      </w:r>
      <w:r>
        <w:t xml:space="preserve"> </w:t>
      </w:r>
      <w:r w:rsidR="004F24E0">
        <w:t>–</w:t>
      </w:r>
      <w:r>
        <w:t xml:space="preserve"> </w:t>
      </w:r>
      <w:r w:rsidR="004F24E0">
        <w:t>In February of 2019, it was noted at LHO that the DCPD interface cable leading from the preamplifiers to the cable bracket on the OMC platform has an unwanted ground point as shown in the diagram below</w:t>
      </w:r>
      <w:r w:rsidR="008160CA">
        <w:t>. As a new interface cable between the new dual preamplifier and the two DCPD heads is required, there is an opportunity to fix this problem (and perhaps create another).</w:t>
      </w:r>
      <w:r w:rsidR="006D21F2">
        <w:t xml:space="preserve"> This is worth considering.</w:t>
      </w:r>
    </w:p>
    <w:p w14:paraId="6CB141D1" w14:textId="48A417FF" w:rsidR="00FB76CA" w:rsidRPr="00AD560B" w:rsidRDefault="00FB76CA" w:rsidP="00FB76CA">
      <w:pPr>
        <w:pStyle w:val="Heading1"/>
        <w:numPr>
          <w:ilvl w:val="0"/>
          <w:numId w:val="32"/>
        </w:numPr>
      </w:pPr>
      <w:r>
        <w:lastRenderedPageBreak/>
        <w:t>Product Perspective, Transfer Functions, and Noise Analysis</w:t>
      </w:r>
    </w:p>
    <w:p w14:paraId="3B6D8EB9" w14:textId="6F0F6B86" w:rsidR="00571E64" w:rsidRDefault="00571E64" w:rsidP="00571E64">
      <w:pPr>
        <w:pStyle w:val="Caption"/>
        <w:jc w:val="center"/>
      </w:pPr>
      <w:r>
        <w:t xml:space="preserve">Figure </w:t>
      </w:r>
      <w:fldSimple w:instr=" SEQ Figure \* ARABIC ">
        <w:r w:rsidR="00B561DE">
          <w:rPr>
            <w:noProof/>
          </w:rPr>
          <w:t>1</w:t>
        </w:r>
      </w:fldSimple>
    </w:p>
    <w:p w14:paraId="63A70C72" w14:textId="17B06539" w:rsidR="002170A3" w:rsidRDefault="008160CA" w:rsidP="002170A3">
      <w:pPr>
        <w:pStyle w:val="MyBodyText"/>
        <w:ind w:left="360" w:firstLine="0"/>
        <w:jc w:val="center"/>
      </w:pPr>
      <w:r>
        <w:rPr>
          <w:noProof/>
        </w:rPr>
        <w:drawing>
          <wp:inline distT="0" distB="0" distL="0" distR="0" wp14:anchorId="6527F088" wp14:editId="5DF0169D">
            <wp:extent cx="5486400" cy="41783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86400" cy="4178300"/>
                    </a:xfrm>
                    <a:prstGeom prst="rect">
                      <a:avLst/>
                    </a:prstGeom>
                  </pic:spPr>
                </pic:pic>
              </a:graphicData>
            </a:graphic>
          </wp:inline>
        </w:drawing>
      </w:r>
    </w:p>
    <w:p w14:paraId="4E7F4C84" w14:textId="498E25C7" w:rsidR="00921B4F" w:rsidRDefault="007A0FC8" w:rsidP="00921B4F">
      <w:pPr>
        <w:pStyle w:val="Heading1"/>
        <w:numPr>
          <w:ilvl w:val="0"/>
          <w:numId w:val="32"/>
        </w:numPr>
      </w:pPr>
      <w:r>
        <w:t>New vs. Old</w:t>
      </w:r>
      <w:r w:rsidR="006C6544">
        <w:t xml:space="preserve"> Features</w:t>
      </w:r>
    </w:p>
    <w:p w14:paraId="5F911EFC" w14:textId="316A429A" w:rsidR="00C07CA8" w:rsidRDefault="007A0FC8" w:rsidP="00C07CA8">
      <w:pPr>
        <w:pStyle w:val="MyBodyText"/>
      </w:pPr>
      <w:r>
        <w:t xml:space="preserve">Key specifications are compared below as perspective of the new and old approach to the in-vacuum </w:t>
      </w:r>
      <w:r w:rsidR="00B72798">
        <w:t>preamplifier.</w:t>
      </w:r>
    </w:p>
    <w:p w14:paraId="54BB6E61" w14:textId="0F32DDE4" w:rsidR="00041162" w:rsidRDefault="00041162" w:rsidP="00F44463">
      <w:pPr>
        <w:pStyle w:val="MyBodyText"/>
        <w:jc w:val="center"/>
      </w:pPr>
    </w:p>
    <w:tbl>
      <w:tblPr>
        <w:tblStyle w:val="TableGrid"/>
        <w:tblW w:w="0" w:type="auto"/>
        <w:jc w:val="center"/>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3068"/>
        <w:gridCol w:w="2890"/>
        <w:gridCol w:w="2898"/>
      </w:tblGrid>
      <w:tr w:rsidR="00F44463" w:rsidRPr="000A79CE" w14:paraId="1019316D" w14:textId="015C6777" w:rsidTr="00137735">
        <w:trPr>
          <w:jc w:val="center"/>
        </w:trPr>
        <w:tc>
          <w:tcPr>
            <w:tcW w:w="3068" w:type="dxa"/>
            <w:vAlign w:val="center"/>
          </w:tcPr>
          <w:p w14:paraId="13856330" w14:textId="77777777" w:rsidR="00F44463" w:rsidRPr="000A79CE" w:rsidRDefault="00F44463" w:rsidP="00CF782F">
            <w:pPr>
              <w:ind w:firstLine="0"/>
              <w:jc w:val="center"/>
              <w:rPr>
                <w:b/>
                <w:color w:val="17365D" w:themeColor="text2" w:themeShade="BF"/>
              </w:rPr>
            </w:pPr>
            <w:r>
              <w:rPr>
                <w:b/>
                <w:color w:val="17365D" w:themeColor="text2" w:themeShade="BF"/>
              </w:rPr>
              <w:t>Parameter</w:t>
            </w:r>
          </w:p>
        </w:tc>
        <w:tc>
          <w:tcPr>
            <w:tcW w:w="2890" w:type="dxa"/>
            <w:vAlign w:val="center"/>
          </w:tcPr>
          <w:p w14:paraId="7F3ADC0F" w14:textId="467B94F2" w:rsidR="00F44463" w:rsidRPr="000A79CE" w:rsidRDefault="00F44463" w:rsidP="00CF782F">
            <w:pPr>
              <w:ind w:firstLine="0"/>
              <w:jc w:val="center"/>
              <w:rPr>
                <w:b/>
                <w:color w:val="17365D" w:themeColor="text2" w:themeShade="BF"/>
              </w:rPr>
            </w:pPr>
            <w:r>
              <w:rPr>
                <w:b/>
                <w:color w:val="17365D" w:themeColor="text2" w:themeShade="BF"/>
              </w:rPr>
              <w:t>Old Preamplifier</w:t>
            </w:r>
          </w:p>
        </w:tc>
        <w:tc>
          <w:tcPr>
            <w:tcW w:w="2898" w:type="dxa"/>
          </w:tcPr>
          <w:p w14:paraId="50F9F98D" w14:textId="473432E3" w:rsidR="00F44463" w:rsidRDefault="00F44463" w:rsidP="00CF782F">
            <w:pPr>
              <w:ind w:firstLine="0"/>
              <w:jc w:val="center"/>
              <w:rPr>
                <w:b/>
                <w:color w:val="17365D" w:themeColor="text2" w:themeShade="BF"/>
              </w:rPr>
            </w:pPr>
            <w:r>
              <w:rPr>
                <w:b/>
                <w:color w:val="17365D" w:themeColor="text2" w:themeShade="BF"/>
              </w:rPr>
              <w:t>New Preamplifier</w:t>
            </w:r>
          </w:p>
        </w:tc>
      </w:tr>
      <w:tr w:rsidR="00F44463" w14:paraId="1D5EAD7A" w14:textId="0E9BA22B" w:rsidTr="00137735">
        <w:trPr>
          <w:jc w:val="center"/>
        </w:trPr>
        <w:tc>
          <w:tcPr>
            <w:tcW w:w="3068" w:type="dxa"/>
            <w:vAlign w:val="center"/>
          </w:tcPr>
          <w:p w14:paraId="3189CD62" w14:textId="06248547" w:rsidR="00F44463" w:rsidRDefault="00F77A35" w:rsidP="00CF782F">
            <w:pPr>
              <w:ind w:firstLine="0"/>
            </w:pPr>
            <w:r>
              <w:t>Input Transimpedance seen by photodiode</w:t>
            </w:r>
          </w:p>
        </w:tc>
        <w:tc>
          <w:tcPr>
            <w:tcW w:w="2890" w:type="dxa"/>
            <w:vAlign w:val="center"/>
          </w:tcPr>
          <w:p w14:paraId="0E98F794" w14:textId="76FDE45D" w:rsidR="00F44463" w:rsidRDefault="00F77A35" w:rsidP="00645315">
            <w:pPr>
              <w:ind w:firstLine="0"/>
              <w:jc w:val="center"/>
            </w:pPr>
            <w:r>
              <w:t>100/400</w:t>
            </w:r>
            <w:r w:rsidR="00A107CD">
              <w:t xml:space="preserve"> </w:t>
            </w:r>
            <w:r>
              <w:t>Ω</w:t>
            </w:r>
          </w:p>
        </w:tc>
        <w:tc>
          <w:tcPr>
            <w:tcW w:w="2898" w:type="dxa"/>
            <w:vAlign w:val="center"/>
          </w:tcPr>
          <w:p w14:paraId="03A90086" w14:textId="7211842A" w:rsidR="00F44463" w:rsidRDefault="00645315" w:rsidP="00645315">
            <w:pPr>
              <w:ind w:firstLine="0"/>
              <w:jc w:val="center"/>
            </w:pPr>
            <w:r>
              <w:t xml:space="preserve">31 </w:t>
            </w:r>
            <w:r>
              <w:t>Ω</w:t>
            </w:r>
          </w:p>
        </w:tc>
      </w:tr>
      <w:tr w:rsidR="00F44463" w14:paraId="78C0C772" w14:textId="1C0AB2F2" w:rsidTr="00137735">
        <w:trPr>
          <w:jc w:val="center"/>
        </w:trPr>
        <w:tc>
          <w:tcPr>
            <w:tcW w:w="3068" w:type="dxa"/>
            <w:vAlign w:val="center"/>
          </w:tcPr>
          <w:p w14:paraId="5431EA73" w14:textId="7C77F947" w:rsidR="00F44463" w:rsidRDefault="00A107CD" w:rsidP="00CF782F">
            <w:pPr>
              <w:ind w:firstLine="0"/>
            </w:pPr>
            <w:r>
              <w:t xml:space="preserve">Overall Head </w:t>
            </w:r>
            <w:r w:rsidR="00C87443">
              <w:t xml:space="preserve">DC </w:t>
            </w:r>
            <w:r>
              <w:t>Transimpedance</w:t>
            </w:r>
          </w:p>
        </w:tc>
        <w:tc>
          <w:tcPr>
            <w:tcW w:w="2890" w:type="dxa"/>
            <w:vAlign w:val="center"/>
          </w:tcPr>
          <w:p w14:paraId="19FC2269" w14:textId="70909DAD" w:rsidR="00F44463" w:rsidRDefault="00A107CD" w:rsidP="00645315">
            <w:pPr>
              <w:ind w:firstLine="0"/>
              <w:jc w:val="center"/>
            </w:pPr>
            <w:r>
              <w:t xml:space="preserve">200/800 </w:t>
            </w:r>
            <w:r>
              <w:t>Ω</w:t>
            </w:r>
          </w:p>
        </w:tc>
        <w:tc>
          <w:tcPr>
            <w:tcW w:w="2898" w:type="dxa"/>
            <w:vAlign w:val="center"/>
          </w:tcPr>
          <w:p w14:paraId="617F9D31" w14:textId="5CAD846E" w:rsidR="00F44463" w:rsidRDefault="00A107CD" w:rsidP="00645315">
            <w:pPr>
              <w:ind w:firstLine="0"/>
              <w:jc w:val="center"/>
            </w:pPr>
            <w:r>
              <w:t xml:space="preserve">200 </w:t>
            </w:r>
            <w:r>
              <w:t>Ω</w:t>
            </w:r>
          </w:p>
        </w:tc>
      </w:tr>
      <w:tr w:rsidR="00F44463" w14:paraId="11E02DB3" w14:textId="707BF745" w:rsidTr="00137735">
        <w:trPr>
          <w:jc w:val="center"/>
        </w:trPr>
        <w:tc>
          <w:tcPr>
            <w:tcW w:w="3068" w:type="dxa"/>
            <w:vAlign w:val="center"/>
          </w:tcPr>
          <w:p w14:paraId="16B04E30" w14:textId="0E8B9CAC" w:rsidR="00F44463" w:rsidRDefault="00C87443" w:rsidP="00CF782F">
            <w:pPr>
              <w:ind w:firstLine="0"/>
            </w:pPr>
            <w:r>
              <w:t>Overall Head Transimpedance at 50Hz</w:t>
            </w:r>
          </w:p>
        </w:tc>
        <w:tc>
          <w:tcPr>
            <w:tcW w:w="2890" w:type="dxa"/>
            <w:vAlign w:val="center"/>
          </w:tcPr>
          <w:p w14:paraId="04B43EF7" w14:textId="16C334E2" w:rsidR="00F44463" w:rsidRDefault="00EB6174" w:rsidP="00645315">
            <w:pPr>
              <w:ind w:firstLine="0"/>
              <w:jc w:val="center"/>
            </w:pPr>
            <w:r>
              <w:t>28 k</w:t>
            </w:r>
            <w:r>
              <w:t>Ω</w:t>
            </w:r>
          </w:p>
        </w:tc>
        <w:tc>
          <w:tcPr>
            <w:tcW w:w="2898" w:type="dxa"/>
            <w:vAlign w:val="center"/>
          </w:tcPr>
          <w:p w14:paraId="5ECA108B" w14:textId="568FE1C6" w:rsidR="00F44463" w:rsidRDefault="00EB6174" w:rsidP="00645315">
            <w:pPr>
              <w:ind w:firstLine="0"/>
              <w:jc w:val="center"/>
            </w:pPr>
            <w:r>
              <w:t>102 k</w:t>
            </w:r>
            <w:r>
              <w:t>Ω</w:t>
            </w:r>
          </w:p>
        </w:tc>
      </w:tr>
      <w:tr w:rsidR="00F44463" w14:paraId="2359FBAA" w14:textId="0D694A4A" w:rsidTr="00137735">
        <w:trPr>
          <w:jc w:val="center"/>
        </w:trPr>
        <w:tc>
          <w:tcPr>
            <w:tcW w:w="3068" w:type="dxa"/>
            <w:vAlign w:val="center"/>
          </w:tcPr>
          <w:p w14:paraId="6045E6B2" w14:textId="56413AB5" w:rsidR="00F44463" w:rsidRDefault="008150B8" w:rsidP="00CF782F">
            <w:pPr>
              <w:ind w:firstLine="0"/>
            </w:pPr>
            <w:r>
              <w:t xml:space="preserve">Overall Head Transimpedance at </w:t>
            </w:r>
            <w:r w:rsidR="00EB6174">
              <w:t>1k</w:t>
            </w:r>
            <w:r>
              <w:t>Hz</w:t>
            </w:r>
          </w:p>
        </w:tc>
        <w:tc>
          <w:tcPr>
            <w:tcW w:w="2890" w:type="dxa"/>
            <w:vAlign w:val="center"/>
          </w:tcPr>
          <w:p w14:paraId="74B01D1E" w14:textId="5216E3DF" w:rsidR="00F44463" w:rsidRDefault="00EB6174" w:rsidP="00645315">
            <w:pPr>
              <w:ind w:firstLine="0"/>
              <w:jc w:val="center"/>
            </w:pPr>
            <w:r>
              <w:t>96 k</w:t>
            </w:r>
            <w:r>
              <w:t>Ω</w:t>
            </w:r>
          </w:p>
        </w:tc>
        <w:tc>
          <w:tcPr>
            <w:tcW w:w="2898" w:type="dxa"/>
            <w:vAlign w:val="center"/>
          </w:tcPr>
          <w:p w14:paraId="1B53A28C" w14:textId="0C961688" w:rsidR="00F44463" w:rsidRDefault="009B07F1" w:rsidP="00645315">
            <w:pPr>
              <w:ind w:firstLine="0"/>
              <w:jc w:val="center"/>
            </w:pPr>
            <w:r>
              <w:t>99 k</w:t>
            </w:r>
            <w:r>
              <w:t>Ω</w:t>
            </w:r>
          </w:p>
        </w:tc>
      </w:tr>
      <w:tr w:rsidR="008150B8" w14:paraId="55615318" w14:textId="77777777" w:rsidTr="00137735">
        <w:trPr>
          <w:jc w:val="center"/>
        </w:trPr>
        <w:tc>
          <w:tcPr>
            <w:tcW w:w="3068" w:type="dxa"/>
            <w:vAlign w:val="center"/>
          </w:tcPr>
          <w:p w14:paraId="2A92621B" w14:textId="526B980D" w:rsidR="008150B8" w:rsidRDefault="008150B8" w:rsidP="00CF782F">
            <w:pPr>
              <w:ind w:firstLine="0"/>
            </w:pPr>
            <w:r>
              <w:t>Gain at 3.125MHz</w:t>
            </w:r>
          </w:p>
        </w:tc>
        <w:tc>
          <w:tcPr>
            <w:tcW w:w="2890" w:type="dxa"/>
            <w:vAlign w:val="center"/>
          </w:tcPr>
          <w:p w14:paraId="4CCA7156" w14:textId="18142DA8" w:rsidR="008150B8" w:rsidRDefault="007B4217" w:rsidP="00645315">
            <w:pPr>
              <w:ind w:firstLine="0"/>
              <w:jc w:val="center"/>
            </w:pPr>
            <w:r>
              <w:t>840</w:t>
            </w:r>
            <w:r w:rsidR="00E8338A">
              <w:t xml:space="preserve"> Ω</w:t>
            </w:r>
          </w:p>
        </w:tc>
        <w:tc>
          <w:tcPr>
            <w:tcW w:w="2898" w:type="dxa"/>
            <w:vAlign w:val="center"/>
          </w:tcPr>
          <w:p w14:paraId="0D6ACDAE" w14:textId="212C3306" w:rsidR="008150B8" w:rsidRDefault="00E8338A" w:rsidP="00645315">
            <w:pPr>
              <w:ind w:firstLine="0"/>
              <w:jc w:val="center"/>
            </w:pPr>
            <w:r>
              <w:t>553</w:t>
            </w:r>
            <w:r>
              <w:t xml:space="preserve"> Ω</w:t>
            </w:r>
          </w:p>
        </w:tc>
      </w:tr>
      <w:tr w:rsidR="00137735" w14:paraId="5C5C072F" w14:textId="77777777" w:rsidTr="00137735">
        <w:trPr>
          <w:jc w:val="center"/>
        </w:trPr>
        <w:tc>
          <w:tcPr>
            <w:tcW w:w="3068" w:type="dxa"/>
            <w:vAlign w:val="center"/>
          </w:tcPr>
          <w:p w14:paraId="2C5B0C0F" w14:textId="7B0BCF7D" w:rsidR="00137735" w:rsidRDefault="00137735" w:rsidP="00CF782F">
            <w:pPr>
              <w:ind w:firstLine="0"/>
            </w:pPr>
            <w:r>
              <w:t>Transimpedance Selection</w:t>
            </w:r>
          </w:p>
        </w:tc>
        <w:tc>
          <w:tcPr>
            <w:tcW w:w="2890" w:type="dxa"/>
            <w:vAlign w:val="center"/>
          </w:tcPr>
          <w:p w14:paraId="3BEA66C1" w14:textId="557747B0" w:rsidR="00137735" w:rsidRDefault="00137735" w:rsidP="00645315">
            <w:pPr>
              <w:ind w:firstLine="0"/>
              <w:jc w:val="center"/>
            </w:pPr>
            <w:r>
              <w:t>Selectable (100/400</w:t>
            </w:r>
            <w:r>
              <w:t xml:space="preserve"> Ω</w:t>
            </w:r>
            <w:r>
              <w:t>)</w:t>
            </w:r>
          </w:p>
        </w:tc>
        <w:tc>
          <w:tcPr>
            <w:tcW w:w="2898" w:type="dxa"/>
            <w:vAlign w:val="center"/>
          </w:tcPr>
          <w:p w14:paraId="2A74C2A5" w14:textId="76CE82FC" w:rsidR="00137735" w:rsidRDefault="00137735" w:rsidP="00645315">
            <w:pPr>
              <w:ind w:firstLine="0"/>
              <w:jc w:val="center"/>
            </w:pPr>
            <w:r>
              <w:t>Fixed</w:t>
            </w:r>
          </w:p>
        </w:tc>
      </w:tr>
      <w:tr w:rsidR="00137735" w14:paraId="514017CA" w14:textId="77777777" w:rsidTr="00137735">
        <w:trPr>
          <w:jc w:val="center"/>
        </w:trPr>
        <w:tc>
          <w:tcPr>
            <w:tcW w:w="3068" w:type="dxa"/>
            <w:vAlign w:val="center"/>
          </w:tcPr>
          <w:p w14:paraId="6E5A5802" w14:textId="409E6639" w:rsidR="00137735" w:rsidRDefault="00137735" w:rsidP="00CF782F">
            <w:pPr>
              <w:ind w:firstLine="0"/>
            </w:pPr>
            <w:r>
              <w:t>Calibration Path</w:t>
            </w:r>
          </w:p>
        </w:tc>
        <w:tc>
          <w:tcPr>
            <w:tcW w:w="2890" w:type="dxa"/>
            <w:vAlign w:val="center"/>
          </w:tcPr>
          <w:p w14:paraId="1AEF3040" w14:textId="67A3D36E" w:rsidR="00137735" w:rsidRDefault="00137735" w:rsidP="00645315">
            <w:pPr>
              <w:ind w:firstLine="0"/>
              <w:jc w:val="center"/>
            </w:pPr>
            <w:r>
              <w:t>None</w:t>
            </w:r>
          </w:p>
        </w:tc>
        <w:tc>
          <w:tcPr>
            <w:tcW w:w="2898" w:type="dxa"/>
            <w:vAlign w:val="center"/>
          </w:tcPr>
          <w:p w14:paraId="651AD3E6" w14:textId="32398A71" w:rsidR="00137735" w:rsidRDefault="00C024AA" w:rsidP="00645315">
            <w:pPr>
              <w:ind w:firstLine="0"/>
              <w:jc w:val="center"/>
            </w:pPr>
            <w:r>
              <w:t>Relay s</w:t>
            </w:r>
            <w:r w:rsidR="00137735">
              <w:t>witchable calibration function</w:t>
            </w:r>
          </w:p>
        </w:tc>
      </w:tr>
      <w:tr w:rsidR="00137735" w14:paraId="5DC97E82" w14:textId="77777777" w:rsidTr="00137735">
        <w:trPr>
          <w:jc w:val="center"/>
        </w:trPr>
        <w:tc>
          <w:tcPr>
            <w:tcW w:w="3068" w:type="dxa"/>
            <w:vAlign w:val="center"/>
          </w:tcPr>
          <w:p w14:paraId="5578E5D9" w14:textId="4E88FD36" w:rsidR="00137735" w:rsidRDefault="00137735" w:rsidP="00CF782F">
            <w:pPr>
              <w:ind w:firstLine="0"/>
            </w:pPr>
            <w:r>
              <w:t>Bias Voltage Monitor</w:t>
            </w:r>
          </w:p>
        </w:tc>
        <w:tc>
          <w:tcPr>
            <w:tcW w:w="2890" w:type="dxa"/>
            <w:vAlign w:val="center"/>
          </w:tcPr>
          <w:p w14:paraId="1A1687BB" w14:textId="5EA71CC9" w:rsidR="00137735" w:rsidRDefault="00137735" w:rsidP="00645315">
            <w:pPr>
              <w:ind w:firstLine="0"/>
              <w:jc w:val="center"/>
            </w:pPr>
            <w:r>
              <w:t>None</w:t>
            </w:r>
          </w:p>
        </w:tc>
        <w:tc>
          <w:tcPr>
            <w:tcW w:w="2898" w:type="dxa"/>
            <w:vAlign w:val="center"/>
          </w:tcPr>
          <w:p w14:paraId="6D61D8DD" w14:textId="09A1E9EA" w:rsidR="00137735" w:rsidRDefault="00137735" w:rsidP="00645315">
            <w:pPr>
              <w:ind w:firstLine="0"/>
              <w:jc w:val="center"/>
            </w:pPr>
            <w:r>
              <w:t>Included</w:t>
            </w:r>
          </w:p>
        </w:tc>
      </w:tr>
    </w:tbl>
    <w:p w14:paraId="2D772E59" w14:textId="77777777" w:rsidR="00F44463" w:rsidRDefault="00F44463" w:rsidP="00F44463">
      <w:pPr>
        <w:pStyle w:val="MyBodyText"/>
        <w:jc w:val="center"/>
      </w:pPr>
    </w:p>
    <w:p w14:paraId="0B533EFA" w14:textId="77777777" w:rsidR="006C6544" w:rsidRPr="00AD560B" w:rsidRDefault="006C6544" w:rsidP="006C6544">
      <w:pPr>
        <w:pStyle w:val="Heading1"/>
        <w:numPr>
          <w:ilvl w:val="0"/>
          <w:numId w:val="32"/>
        </w:numPr>
      </w:pPr>
      <w:bookmarkStart w:id="0" w:name="_Ref49412502"/>
      <w:r>
        <w:lastRenderedPageBreak/>
        <w:t>Product Perspective, Transfer Functions, and Noise Analysis</w:t>
      </w:r>
    </w:p>
    <w:p w14:paraId="72BB0246" w14:textId="77777777" w:rsidR="006C6544" w:rsidRDefault="006C6544" w:rsidP="00571E64">
      <w:pPr>
        <w:pStyle w:val="Caption"/>
      </w:pPr>
    </w:p>
    <w:p w14:paraId="7765CCD7" w14:textId="2AD4C4BB" w:rsidR="00041162" w:rsidRDefault="00041162" w:rsidP="00571E64">
      <w:pPr>
        <w:pStyle w:val="Caption"/>
      </w:pPr>
      <w:r>
        <w:t xml:space="preserve">Figure </w:t>
      </w:r>
      <w:fldSimple w:instr=" SEQ Figure \* ARABIC ">
        <w:r w:rsidR="00B561DE">
          <w:rPr>
            <w:noProof/>
          </w:rPr>
          <w:t>2</w:t>
        </w:r>
      </w:fldSimple>
      <w:bookmarkEnd w:id="0"/>
      <w:r w:rsidR="00777248">
        <w:t xml:space="preserve"> </w:t>
      </w:r>
      <w:r w:rsidR="007A0FC8">
        <w:t xml:space="preserve">Overlay of </w:t>
      </w:r>
      <w:r w:rsidR="007A7FBF">
        <w:t xml:space="preserve">New and Old </w:t>
      </w:r>
      <w:r w:rsidR="002B4BEB">
        <w:t xml:space="preserve">In-vacuum Preamplifier Head </w:t>
      </w:r>
      <w:r w:rsidR="007A0FC8">
        <w:t>Transfer Functions from Photocurrent to Differential Outputs</w:t>
      </w:r>
      <w:r w:rsidR="00B72798">
        <w:t xml:space="preserve"> (overall transimpedance)</w:t>
      </w:r>
    </w:p>
    <w:p w14:paraId="021EF762" w14:textId="36A46B90" w:rsidR="00041162" w:rsidRDefault="007A7FBF" w:rsidP="00041162">
      <w:pPr>
        <w:pStyle w:val="MyBodyText"/>
        <w:jc w:val="center"/>
      </w:pPr>
      <w:r>
        <w:rPr>
          <w:noProof/>
        </w:rPr>
        <w:drawing>
          <wp:inline distT="0" distB="0" distL="0" distR="0" wp14:anchorId="5CBF38FF" wp14:editId="371314C4">
            <wp:extent cx="4979563" cy="3190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85619" cy="3194755"/>
                    </a:xfrm>
                    <a:prstGeom prst="rect">
                      <a:avLst/>
                    </a:prstGeom>
                  </pic:spPr>
                </pic:pic>
              </a:graphicData>
            </a:graphic>
          </wp:inline>
        </w:drawing>
      </w:r>
    </w:p>
    <w:p w14:paraId="75103400" w14:textId="13C7C25D" w:rsidR="00041162" w:rsidRDefault="00041162" w:rsidP="00041162">
      <w:pPr>
        <w:pStyle w:val="MyBodyText"/>
        <w:jc w:val="center"/>
      </w:pPr>
    </w:p>
    <w:p w14:paraId="5BF24520" w14:textId="12E6DED3" w:rsidR="004B43D9" w:rsidRDefault="004B43D9" w:rsidP="00571E64">
      <w:pPr>
        <w:pStyle w:val="Caption"/>
      </w:pPr>
      <w:bookmarkStart w:id="1" w:name="_Ref49412510"/>
      <w:r>
        <w:t xml:space="preserve">Figure </w:t>
      </w:r>
      <w:fldSimple w:instr=" SEQ Figure \* ARABIC ">
        <w:r w:rsidR="00B561DE">
          <w:rPr>
            <w:noProof/>
          </w:rPr>
          <w:t>3</w:t>
        </w:r>
      </w:fldSimple>
      <w:bookmarkEnd w:id="1"/>
      <w:r>
        <w:t xml:space="preserve"> </w:t>
      </w:r>
      <w:r w:rsidR="00CF6401">
        <w:t>Old electronics chain transfer function from photocurrent to ADC input</w:t>
      </w:r>
      <w:r w:rsidR="00392B53">
        <w:t>. Three filters can be switched in any combination. The first and last stages are Z=1Hz, P=10Hz. The second stage is P=50Hz, Z=</w:t>
      </w:r>
      <w:r w:rsidR="002B0352">
        <w:t>500Hz.</w:t>
      </w:r>
    </w:p>
    <w:p w14:paraId="71781D7C" w14:textId="4CC4739A" w:rsidR="004B43D9" w:rsidRDefault="00AD0A15" w:rsidP="00041162">
      <w:pPr>
        <w:pStyle w:val="MyBodyText"/>
        <w:jc w:val="center"/>
      </w:pPr>
      <w:r>
        <w:rPr>
          <w:noProof/>
        </w:rPr>
        <w:drawing>
          <wp:inline distT="0" distB="0" distL="0" distR="0" wp14:anchorId="2793BCE1" wp14:editId="76FC9EC9">
            <wp:extent cx="4448175" cy="322376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461956" cy="3233752"/>
                    </a:xfrm>
                    <a:prstGeom prst="rect">
                      <a:avLst/>
                    </a:prstGeom>
                  </pic:spPr>
                </pic:pic>
              </a:graphicData>
            </a:graphic>
          </wp:inline>
        </w:drawing>
      </w:r>
    </w:p>
    <w:p w14:paraId="21BFCBA9" w14:textId="6F4C040B" w:rsidR="00041162" w:rsidRDefault="00041162" w:rsidP="00041162">
      <w:pPr>
        <w:pStyle w:val="MyBodyText"/>
        <w:jc w:val="center"/>
      </w:pPr>
    </w:p>
    <w:p w14:paraId="524406CB" w14:textId="16C569B3" w:rsidR="005A54E4" w:rsidRDefault="005A54E4" w:rsidP="00041162">
      <w:pPr>
        <w:pStyle w:val="MyBodyText"/>
        <w:jc w:val="center"/>
      </w:pPr>
    </w:p>
    <w:p w14:paraId="4099A824" w14:textId="27B1E719" w:rsidR="005A54E4" w:rsidRDefault="005A54E4" w:rsidP="00571E64">
      <w:pPr>
        <w:pStyle w:val="Caption"/>
      </w:pPr>
      <w:r>
        <w:t xml:space="preserve">Figure </w:t>
      </w:r>
      <w:fldSimple w:instr=" SEQ Figure \* ARABIC ">
        <w:r w:rsidR="00B561DE">
          <w:rPr>
            <w:noProof/>
          </w:rPr>
          <w:t>4</w:t>
        </w:r>
      </w:fldSimple>
      <w:r w:rsidR="00DF402E">
        <w:t xml:space="preserve"> Predicted spectrum at input to ADC for existing (old) preamplifier design using all three available stages of in-air whitening. Red curve corresponds to the signal from 10mA of photocurrent. Blue curve is the dark noise of the entire signal chain. Y-axis is in units of Vrms/</w:t>
      </w:r>
      <m:oMath>
        <m:r>
          <m:rPr>
            <m:sty m:val="bi"/>
          </m:rPr>
          <w:rPr>
            <w:rFonts w:ascii="Cambria Math" w:hAnsi="Cambria Math"/>
          </w:rPr>
          <m:t>√Hz</m:t>
        </m:r>
      </m:oMath>
    </w:p>
    <w:p w14:paraId="2E74A43D" w14:textId="0C0EEC00" w:rsidR="005A54E4" w:rsidRDefault="005A54E4" w:rsidP="00041162">
      <w:pPr>
        <w:pStyle w:val="MyBodyText"/>
        <w:jc w:val="center"/>
      </w:pPr>
      <w:r>
        <w:rPr>
          <w:noProof/>
        </w:rPr>
        <w:drawing>
          <wp:inline distT="0" distB="0" distL="0" distR="0" wp14:anchorId="44ED308D" wp14:editId="2D2ED1BD">
            <wp:extent cx="4457034" cy="3133725"/>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11980" cy="3172358"/>
                    </a:xfrm>
                    <a:prstGeom prst="rect">
                      <a:avLst/>
                    </a:prstGeom>
                  </pic:spPr>
                </pic:pic>
              </a:graphicData>
            </a:graphic>
          </wp:inline>
        </w:drawing>
      </w:r>
    </w:p>
    <w:p w14:paraId="3380630A" w14:textId="5F644275" w:rsidR="00260979" w:rsidRDefault="00260979" w:rsidP="00041162">
      <w:pPr>
        <w:pStyle w:val="MyBodyText"/>
        <w:jc w:val="center"/>
      </w:pPr>
    </w:p>
    <w:p w14:paraId="59E37902" w14:textId="169F4542" w:rsidR="003D5BC2" w:rsidRDefault="003D5BC2" w:rsidP="00571E64">
      <w:pPr>
        <w:pStyle w:val="Caption"/>
      </w:pPr>
      <w:r>
        <w:lastRenderedPageBreak/>
        <w:t xml:space="preserve">Figure </w:t>
      </w:r>
      <w:fldSimple w:instr=" SEQ Figure \* ARABIC ">
        <w:r w:rsidR="00B561DE">
          <w:rPr>
            <w:noProof/>
          </w:rPr>
          <w:t>5</w:t>
        </w:r>
      </w:fldSimple>
      <w:r>
        <w:t xml:space="preserve"> </w:t>
      </w:r>
      <w:r>
        <w:t xml:space="preserve">Predicted spectrum at </w:t>
      </w:r>
      <w:r>
        <w:t>differential output</w:t>
      </w:r>
      <w:r w:rsidR="000F2C08">
        <w:t xml:space="preserve"> of</w:t>
      </w:r>
      <w:r>
        <w:t xml:space="preserve"> </w:t>
      </w:r>
      <w:r>
        <w:t>new</w:t>
      </w:r>
      <w:r>
        <w:t xml:space="preserve"> preamplifier design</w:t>
      </w:r>
      <w:r w:rsidR="000F2C08">
        <w:t>.</w:t>
      </w:r>
      <w:r>
        <w:t xml:space="preserve"> </w:t>
      </w:r>
      <w:r w:rsidR="000F2C08">
        <w:t xml:space="preserve">From top to bottom are the predicted signal levels for 30mA, 20mA, 10mA, and dark noise (blue, bottom trace). </w:t>
      </w:r>
      <w:r>
        <w:t>Y-axis is in units of Vrms/</w:t>
      </w:r>
      <m:oMath>
        <m:r>
          <m:rPr>
            <m:sty m:val="bi"/>
          </m:rPr>
          <w:rPr>
            <w:rFonts w:ascii="Cambria Math" w:hAnsi="Cambria Math"/>
          </w:rPr>
          <m:t>√Hz</m:t>
        </m:r>
      </m:oMath>
    </w:p>
    <w:p w14:paraId="24567BD1" w14:textId="75067A6C" w:rsidR="00260979" w:rsidRDefault="003D5BC2" w:rsidP="00041162">
      <w:pPr>
        <w:pStyle w:val="MyBodyText"/>
        <w:jc w:val="center"/>
      </w:pPr>
      <w:r>
        <w:rPr>
          <w:noProof/>
        </w:rPr>
        <w:drawing>
          <wp:inline distT="0" distB="0" distL="0" distR="0" wp14:anchorId="149377A0" wp14:editId="42670BAE">
            <wp:extent cx="4488043" cy="3143250"/>
            <wp:effectExtent l="0" t="0" r="825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497794" cy="3150079"/>
                    </a:xfrm>
                    <a:prstGeom prst="rect">
                      <a:avLst/>
                    </a:prstGeom>
                  </pic:spPr>
                </pic:pic>
              </a:graphicData>
            </a:graphic>
          </wp:inline>
        </w:drawing>
      </w:r>
    </w:p>
    <w:p w14:paraId="694B0E9C" w14:textId="77777777" w:rsidR="005A54E4" w:rsidRDefault="005A54E4" w:rsidP="00571E64">
      <w:pPr>
        <w:pStyle w:val="Caption"/>
      </w:pPr>
    </w:p>
    <w:p w14:paraId="7F78D185" w14:textId="388DD9BD" w:rsidR="00112E6E" w:rsidRDefault="00112E6E" w:rsidP="00571E64">
      <w:pPr>
        <w:pStyle w:val="Caption"/>
      </w:pPr>
      <w:r>
        <w:t xml:space="preserve">Figure </w:t>
      </w:r>
      <w:fldSimple w:instr=" SEQ Figure \* ARABIC ">
        <w:r w:rsidR="00B561DE">
          <w:rPr>
            <w:noProof/>
          </w:rPr>
          <w:t>6</w:t>
        </w:r>
      </w:fldSimple>
      <w:r w:rsidR="00CB7197">
        <w:t xml:space="preserve"> Bias </w:t>
      </w:r>
      <w:r w:rsidR="00CB7197" w:rsidRPr="00571E64">
        <w:t>monitor</w:t>
      </w:r>
      <w:r w:rsidR="00CB7197">
        <w:t xml:space="preserve"> transfer function from PD to </w:t>
      </w:r>
      <w:r w:rsidR="00952DC3">
        <w:t xml:space="preserve">bias monitor </w:t>
      </w:r>
      <w:r w:rsidR="00CB7197">
        <w:t>differential output</w:t>
      </w:r>
    </w:p>
    <w:p w14:paraId="25AFF026" w14:textId="52286ED8" w:rsidR="00112E6E" w:rsidRDefault="00112E6E" w:rsidP="00041162">
      <w:pPr>
        <w:pStyle w:val="MyBodyText"/>
        <w:jc w:val="center"/>
      </w:pPr>
      <w:r>
        <w:rPr>
          <w:noProof/>
        </w:rPr>
        <w:drawing>
          <wp:inline distT="0" distB="0" distL="0" distR="0" wp14:anchorId="1567827B" wp14:editId="3F055BB6">
            <wp:extent cx="5295900" cy="34004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295900" cy="3400425"/>
                    </a:xfrm>
                    <a:prstGeom prst="rect">
                      <a:avLst/>
                    </a:prstGeom>
                  </pic:spPr>
                </pic:pic>
              </a:graphicData>
            </a:graphic>
          </wp:inline>
        </w:drawing>
      </w:r>
    </w:p>
    <w:p w14:paraId="55D1175B" w14:textId="16FF46A9" w:rsidR="00952DC3" w:rsidRDefault="00952DC3" w:rsidP="00B2055A">
      <w:pPr>
        <w:pStyle w:val="Caption"/>
      </w:pPr>
      <w:r>
        <w:lastRenderedPageBreak/>
        <w:t xml:space="preserve">Figure </w:t>
      </w:r>
      <w:fldSimple w:instr=" SEQ Figure \* ARABIC ">
        <w:r w:rsidR="00B561DE">
          <w:rPr>
            <w:noProof/>
          </w:rPr>
          <w:t>7</w:t>
        </w:r>
      </w:fldSimple>
      <w:r>
        <w:t xml:space="preserve"> </w:t>
      </w:r>
      <w:r w:rsidR="00B2055A">
        <w:t>Approximate coupling transfer function from bias supply input to main preamplifier differential output. Useful for estimating allowable bias voltage noise.</w:t>
      </w:r>
    </w:p>
    <w:p w14:paraId="74313F17" w14:textId="26F53145" w:rsidR="0024704C" w:rsidRDefault="00952DC3" w:rsidP="00041162">
      <w:pPr>
        <w:pStyle w:val="MyBodyText"/>
        <w:jc w:val="center"/>
      </w:pPr>
      <w:r>
        <w:rPr>
          <w:noProof/>
        </w:rPr>
        <w:drawing>
          <wp:inline distT="0" distB="0" distL="0" distR="0" wp14:anchorId="276FE089" wp14:editId="511C4313">
            <wp:extent cx="4429125" cy="3102799"/>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62498" cy="3126178"/>
                    </a:xfrm>
                    <a:prstGeom prst="rect">
                      <a:avLst/>
                    </a:prstGeom>
                  </pic:spPr>
                </pic:pic>
              </a:graphicData>
            </a:graphic>
          </wp:inline>
        </w:drawing>
      </w:r>
    </w:p>
    <w:p w14:paraId="6016A3A6" w14:textId="77777777" w:rsidR="00B2055A" w:rsidRDefault="00B2055A" w:rsidP="00571E64">
      <w:pPr>
        <w:pStyle w:val="Caption"/>
      </w:pPr>
    </w:p>
    <w:p w14:paraId="7CABFB6A" w14:textId="43A9510B" w:rsidR="0024704C" w:rsidRDefault="0024704C" w:rsidP="00571E64">
      <w:pPr>
        <w:pStyle w:val="Caption"/>
      </w:pPr>
      <w:r>
        <w:t xml:space="preserve">Figure </w:t>
      </w:r>
      <w:fldSimple w:instr=" SEQ Figure \* ARABIC ">
        <w:r w:rsidR="00B561DE">
          <w:rPr>
            <w:noProof/>
          </w:rPr>
          <w:t>8</w:t>
        </w:r>
      </w:fldSimple>
      <w:r w:rsidR="001A04E1">
        <w:t xml:space="preserve">. Bias monitor path input referred voltage </w:t>
      </w:r>
      <w:r w:rsidR="000F2C08">
        <w:t>noise.</w:t>
      </w:r>
    </w:p>
    <w:p w14:paraId="3BFC8ADC" w14:textId="0612B124" w:rsidR="0070210A" w:rsidRDefault="0024704C" w:rsidP="0070210A">
      <w:pPr>
        <w:pStyle w:val="MyBodyText"/>
        <w:jc w:val="center"/>
      </w:pPr>
      <w:r>
        <w:rPr>
          <w:noProof/>
        </w:rPr>
        <w:drawing>
          <wp:inline distT="0" distB="0" distL="0" distR="0" wp14:anchorId="2E375614" wp14:editId="7CA7F526">
            <wp:extent cx="4410075" cy="309339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419519" cy="3100023"/>
                    </a:xfrm>
                    <a:prstGeom prst="rect">
                      <a:avLst/>
                    </a:prstGeom>
                  </pic:spPr>
                </pic:pic>
              </a:graphicData>
            </a:graphic>
          </wp:inline>
        </w:drawing>
      </w:r>
    </w:p>
    <w:p w14:paraId="3E519C5B" w14:textId="77777777" w:rsidR="0070210A" w:rsidRPr="0070210A" w:rsidRDefault="0070210A" w:rsidP="0070210A">
      <w:pPr>
        <w:pStyle w:val="NoSpacing"/>
      </w:pPr>
    </w:p>
    <w:p w14:paraId="78966062" w14:textId="77777777" w:rsidR="0070210A" w:rsidRDefault="0070210A" w:rsidP="00041162">
      <w:pPr>
        <w:pStyle w:val="MyBodyText"/>
        <w:jc w:val="center"/>
      </w:pPr>
    </w:p>
    <w:p w14:paraId="3EC1A1E8" w14:textId="24A6D4B4" w:rsidR="00480CB9" w:rsidRDefault="00480CB9" w:rsidP="00571E64">
      <w:pPr>
        <w:pStyle w:val="Caption"/>
      </w:pPr>
      <w:r>
        <w:lastRenderedPageBreak/>
        <w:t xml:space="preserve">Figure </w:t>
      </w:r>
      <w:fldSimple w:instr=" SEQ Figure \* ARABIC ">
        <w:r w:rsidR="00B561DE">
          <w:rPr>
            <w:noProof/>
          </w:rPr>
          <w:t>9</w:t>
        </w:r>
      </w:fldSimple>
      <w:r w:rsidR="00571E64">
        <w:t xml:space="preserve"> Calibration path transfer function assuming signal input to 100k resistor tied to PD anode, with the output taken differentially from the in-vacuum preamplifier head.</w:t>
      </w:r>
    </w:p>
    <w:p w14:paraId="37076DBF" w14:textId="02FF35AA" w:rsidR="00480CB9" w:rsidRDefault="00480CB9" w:rsidP="00041162">
      <w:pPr>
        <w:pStyle w:val="MyBodyText"/>
        <w:jc w:val="center"/>
      </w:pPr>
      <w:r>
        <w:rPr>
          <w:noProof/>
        </w:rPr>
        <w:drawing>
          <wp:inline distT="0" distB="0" distL="0" distR="0" wp14:anchorId="604E0362" wp14:editId="33039A31">
            <wp:extent cx="4686300" cy="330498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686300" cy="3304986"/>
                    </a:xfrm>
                    <a:prstGeom prst="rect">
                      <a:avLst/>
                    </a:prstGeom>
                  </pic:spPr>
                </pic:pic>
              </a:graphicData>
            </a:graphic>
          </wp:inline>
        </w:drawing>
      </w:r>
    </w:p>
    <w:p w14:paraId="13BA688B" w14:textId="71494F4C" w:rsidR="0070210A" w:rsidRDefault="0070210A">
      <w:pPr>
        <w:ind w:firstLine="0"/>
        <w:rPr>
          <w:sz w:val="24"/>
          <w:szCs w:val="24"/>
        </w:rPr>
      </w:pPr>
      <w:r>
        <w:br w:type="page"/>
      </w:r>
    </w:p>
    <w:p w14:paraId="24740D4C" w14:textId="132EEBA9" w:rsidR="0070210A" w:rsidRDefault="0070210A" w:rsidP="0070210A">
      <w:pPr>
        <w:pStyle w:val="Heading1"/>
        <w:numPr>
          <w:ilvl w:val="0"/>
          <w:numId w:val="32"/>
        </w:numPr>
      </w:pPr>
      <w:r>
        <w:lastRenderedPageBreak/>
        <w:t>Required Functions for In-air Whitening and Interface Chassis</w:t>
      </w:r>
    </w:p>
    <w:p w14:paraId="1FC1DD0C" w14:textId="6B49CF80" w:rsidR="0070210A" w:rsidRDefault="0070210A" w:rsidP="00041162">
      <w:pPr>
        <w:pStyle w:val="MyBodyText"/>
        <w:jc w:val="center"/>
      </w:pPr>
    </w:p>
    <w:tbl>
      <w:tblPr>
        <w:tblStyle w:val="TableGrid"/>
        <w:tblW w:w="0" w:type="auto"/>
        <w:jc w:val="center"/>
        <w:tblBorders>
          <w:top w:val="none" w:sz="0" w:space="0" w:color="auto"/>
          <w:left w:val="none" w:sz="0" w:space="0" w:color="auto"/>
          <w:bottom w:val="none" w:sz="0" w:space="0" w:color="auto"/>
          <w:right w:val="none" w:sz="0" w:space="0" w:color="auto"/>
        </w:tblBorders>
        <w:tblLook w:val="01E0" w:firstRow="1" w:lastRow="1" w:firstColumn="1" w:lastColumn="1" w:noHBand="0" w:noVBand="0"/>
      </w:tblPr>
      <w:tblGrid>
        <w:gridCol w:w="928"/>
        <w:gridCol w:w="5049"/>
      </w:tblGrid>
      <w:tr w:rsidR="00AC618A" w:rsidRPr="000A79CE" w14:paraId="66759DFF" w14:textId="77777777" w:rsidTr="00AC618A">
        <w:trPr>
          <w:jc w:val="center"/>
        </w:trPr>
        <w:tc>
          <w:tcPr>
            <w:tcW w:w="909" w:type="dxa"/>
            <w:vAlign w:val="center"/>
          </w:tcPr>
          <w:p w14:paraId="682E0B3D" w14:textId="7FA91912" w:rsidR="00AC618A" w:rsidRPr="000A79CE" w:rsidRDefault="00AC618A" w:rsidP="00CF782F">
            <w:pPr>
              <w:ind w:firstLine="0"/>
              <w:jc w:val="center"/>
              <w:rPr>
                <w:b/>
                <w:color w:val="17365D" w:themeColor="text2" w:themeShade="BF"/>
              </w:rPr>
            </w:pPr>
            <w:r>
              <w:rPr>
                <w:b/>
                <w:color w:val="17365D" w:themeColor="text2" w:themeShade="BF"/>
              </w:rPr>
              <w:t>Item Number</w:t>
            </w:r>
          </w:p>
        </w:tc>
        <w:tc>
          <w:tcPr>
            <w:tcW w:w="5049" w:type="dxa"/>
            <w:vAlign w:val="center"/>
          </w:tcPr>
          <w:p w14:paraId="497219B2" w14:textId="4960D314" w:rsidR="00AC618A" w:rsidRPr="000A79CE" w:rsidRDefault="00AC618A" w:rsidP="00CF782F">
            <w:pPr>
              <w:ind w:firstLine="0"/>
              <w:jc w:val="center"/>
              <w:rPr>
                <w:b/>
                <w:color w:val="17365D" w:themeColor="text2" w:themeShade="BF"/>
              </w:rPr>
            </w:pPr>
            <w:r>
              <w:rPr>
                <w:b/>
                <w:color w:val="17365D" w:themeColor="text2" w:themeShade="BF"/>
              </w:rPr>
              <w:t>Function</w:t>
            </w:r>
          </w:p>
        </w:tc>
      </w:tr>
      <w:tr w:rsidR="00AC618A" w14:paraId="0A90387B" w14:textId="77777777" w:rsidTr="00AC618A">
        <w:trPr>
          <w:jc w:val="center"/>
        </w:trPr>
        <w:tc>
          <w:tcPr>
            <w:tcW w:w="909" w:type="dxa"/>
            <w:vAlign w:val="center"/>
          </w:tcPr>
          <w:p w14:paraId="493B2A42" w14:textId="6DC39B9A" w:rsidR="00AC618A" w:rsidRDefault="00AC618A" w:rsidP="00BB189D">
            <w:pPr>
              <w:ind w:firstLine="0"/>
              <w:jc w:val="center"/>
            </w:pPr>
            <w:r>
              <w:t>1</w:t>
            </w:r>
          </w:p>
        </w:tc>
        <w:tc>
          <w:tcPr>
            <w:tcW w:w="5049" w:type="dxa"/>
            <w:vAlign w:val="center"/>
          </w:tcPr>
          <w:p w14:paraId="7DD11205" w14:textId="1120E9D0" w:rsidR="00AC618A" w:rsidRDefault="00BB189D" w:rsidP="00BB189D">
            <w:pPr>
              <w:ind w:firstLine="0"/>
            </w:pPr>
            <w:r>
              <w:t xml:space="preserve">Filtered and current-limited source of </w:t>
            </w:r>
            <w:r w:rsidR="001E262C">
              <w:t xml:space="preserve">+/-15VDC </w:t>
            </w:r>
            <w:r>
              <w:t>power to two dual-channel in-vacuum preamplifier heads</w:t>
            </w:r>
          </w:p>
        </w:tc>
      </w:tr>
      <w:tr w:rsidR="00AC618A" w14:paraId="13FE1090" w14:textId="77777777" w:rsidTr="00AC618A">
        <w:trPr>
          <w:jc w:val="center"/>
        </w:trPr>
        <w:tc>
          <w:tcPr>
            <w:tcW w:w="909" w:type="dxa"/>
            <w:vAlign w:val="center"/>
          </w:tcPr>
          <w:p w14:paraId="59D383D3" w14:textId="04354BED" w:rsidR="00AC618A" w:rsidRDefault="00AC618A" w:rsidP="00BB189D">
            <w:pPr>
              <w:ind w:firstLine="0"/>
              <w:jc w:val="center"/>
            </w:pPr>
            <w:r>
              <w:t>2</w:t>
            </w:r>
          </w:p>
        </w:tc>
        <w:tc>
          <w:tcPr>
            <w:tcW w:w="5049" w:type="dxa"/>
            <w:vAlign w:val="center"/>
          </w:tcPr>
          <w:p w14:paraId="227517E3" w14:textId="13845EA8" w:rsidR="00AC618A" w:rsidRDefault="00BB189D" w:rsidP="00BB189D">
            <w:pPr>
              <w:ind w:firstLine="0"/>
            </w:pPr>
            <w:r>
              <w:t>Independent on/off switch on front panel serving each in-vacuum preamplifier</w:t>
            </w:r>
          </w:p>
        </w:tc>
      </w:tr>
      <w:tr w:rsidR="00AC618A" w14:paraId="129A7B08" w14:textId="77777777" w:rsidTr="00AC618A">
        <w:trPr>
          <w:jc w:val="center"/>
        </w:trPr>
        <w:tc>
          <w:tcPr>
            <w:tcW w:w="909" w:type="dxa"/>
            <w:vAlign w:val="center"/>
          </w:tcPr>
          <w:p w14:paraId="14CE0FC6" w14:textId="0BAE62A5" w:rsidR="00AC618A" w:rsidRDefault="00AC618A" w:rsidP="00BB189D">
            <w:pPr>
              <w:ind w:firstLine="0"/>
              <w:jc w:val="center"/>
            </w:pPr>
            <w:r>
              <w:t>3</w:t>
            </w:r>
          </w:p>
        </w:tc>
        <w:tc>
          <w:tcPr>
            <w:tcW w:w="5049" w:type="dxa"/>
            <w:vAlign w:val="center"/>
          </w:tcPr>
          <w:p w14:paraId="403FEB65" w14:textId="7A5B8C53" w:rsidR="00AC618A" w:rsidRDefault="00BB189D" w:rsidP="00BB189D">
            <w:pPr>
              <w:ind w:firstLine="0"/>
            </w:pPr>
            <w:r>
              <w:t>Sufficient</w:t>
            </w:r>
            <w:r w:rsidR="004C16F4">
              <w:t xml:space="preserve"> remotely controllable switchable</w:t>
            </w:r>
            <w:r>
              <w:t xml:space="preserve"> whitening to support lock acquisition and normal low-noise operation for main GW outputs</w:t>
            </w:r>
          </w:p>
        </w:tc>
      </w:tr>
      <w:tr w:rsidR="00AC618A" w14:paraId="57DB9CB5" w14:textId="77777777" w:rsidTr="00AC618A">
        <w:trPr>
          <w:jc w:val="center"/>
        </w:trPr>
        <w:tc>
          <w:tcPr>
            <w:tcW w:w="909" w:type="dxa"/>
            <w:vAlign w:val="center"/>
          </w:tcPr>
          <w:p w14:paraId="4B6EA378" w14:textId="3C0B197A" w:rsidR="00AC618A" w:rsidRDefault="00AC618A" w:rsidP="00BB189D">
            <w:pPr>
              <w:ind w:firstLine="0"/>
              <w:jc w:val="center"/>
            </w:pPr>
            <w:r>
              <w:t>4</w:t>
            </w:r>
          </w:p>
        </w:tc>
        <w:tc>
          <w:tcPr>
            <w:tcW w:w="5049" w:type="dxa"/>
            <w:vAlign w:val="center"/>
          </w:tcPr>
          <w:p w14:paraId="6E8209F5" w14:textId="5D8460A5" w:rsidR="00AC618A" w:rsidRDefault="006C15B9" w:rsidP="00BB189D">
            <w:pPr>
              <w:ind w:firstLine="0"/>
            </w:pPr>
            <w:r>
              <w:t>Calibration relay on/off control (front panel and remote) with switch state readback</w:t>
            </w:r>
          </w:p>
        </w:tc>
      </w:tr>
      <w:tr w:rsidR="00AC618A" w14:paraId="333F8182" w14:textId="77777777" w:rsidTr="00AC618A">
        <w:trPr>
          <w:jc w:val="center"/>
        </w:trPr>
        <w:tc>
          <w:tcPr>
            <w:tcW w:w="909" w:type="dxa"/>
            <w:vAlign w:val="center"/>
          </w:tcPr>
          <w:p w14:paraId="1F17BAF3" w14:textId="3A7C8E4E" w:rsidR="00AC618A" w:rsidRDefault="006C15B9" w:rsidP="00BB189D">
            <w:pPr>
              <w:ind w:firstLine="0"/>
              <w:jc w:val="center"/>
            </w:pPr>
            <w:r>
              <w:t>5</w:t>
            </w:r>
          </w:p>
        </w:tc>
        <w:tc>
          <w:tcPr>
            <w:tcW w:w="5049" w:type="dxa"/>
            <w:vAlign w:val="center"/>
          </w:tcPr>
          <w:p w14:paraId="6C6BC508" w14:textId="1F46D729" w:rsidR="00AC618A" w:rsidRDefault="006C15B9" w:rsidP="00BB189D">
            <w:pPr>
              <w:ind w:firstLine="0"/>
            </w:pPr>
            <w:r>
              <w:t>Parametric Instability (PI) signal extraction to real-time ADCs</w:t>
            </w:r>
          </w:p>
        </w:tc>
      </w:tr>
      <w:tr w:rsidR="00AC618A" w14:paraId="77FC2CE6" w14:textId="77777777" w:rsidTr="00AC618A">
        <w:trPr>
          <w:jc w:val="center"/>
        </w:trPr>
        <w:tc>
          <w:tcPr>
            <w:tcW w:w="909" w:type="dxa"/>
            <w:vAlign w:val="center"/>
          </w:tcPr>
          <w:p w14:paraId="26582BC6" w14:textId="04DB5DBD" w:rsidR="00AC618A" w:rsidRDefault="006C15B9" w:rsidP="00BB189D">
            <w:pPr>
              <w:ind w:firstLine="0"/>
              <w:jc w:val="center"/>
            </w:pPr>
            <w:r>
              <w:t>6</w:t>
            </w:r>
          </w:p>
        </w:tc>
        <w:tc>
          <w:tcPr>
            <w:tcW w:w="5049" w:type="dxa"/>
            <w:vAlign w:val="center"/>
          </w:tcPr>
          <w:p w14:paraId="1F9412B7" w14:textId="06EBFA2D" w:rsidR="00AC618A" w:rsidRDefault="00C66588" w:rsidP="00BB189D">
            <w:pPr>
              <w:ind w:firstLine="0"/>
            </w:pPr>
            <w:r>
              <w:t>Rear panel signal outputs to real-time ADC channels on Dsub connector (bias monitors, and GW output signals)</w:t>
            </w:r>
          </w:p>
        </w:tc>
      </w:tr>
      <w:tr w:rsidR="00AC618A" w14:paraId="45413426" w14:textId="77777777" w:rsidTr="00AC618A">
        <w:trPr>
          <w:jc w:val="center"/>
        </w:trPr>
        <w:tc>
          <w:tcPr>
            <w:tcW w:w="909" w:type="dxa"/>
            <w:vAlign w:val="center"/>
          </w:tcPr>
          <w:p w14:paraId="20535A95" w14:textId="25E938BC" w:rsidR="00AC618A" w:rsidRDefault="00C66588" w:rsidP="00BB189D">
            <w:pPr>
              <w:ind w:firstLine="0"/>
              <w:jc w:val="center"/>
            </w:pPr>
            <w:r>
              <w:t>7</w:t>
            </w:r>
          </w:p>
        </w:tc>
        <w:tc>
          <w:tcPr>
            <w:tcW w:w="5049" w:type="dxa"/>
            <w:vAlign w:val="center"/>
          </w:tcPr>
          <w:p w14:paraId="38C6D6AD" w14:textId="68F839A6" w:rsidR="00AC618A" w:rsidRDefault="00C66588" w:rsidP="00BB189D">
            <w:pPr>
              <w:ind w:firstLine="0"/>
            </w:pPr>
            <w:r>
              <w:t xml:space="preserve">1U 19-inch rack mountable chassis operating on +/-18VDC raw power. Rear-panel </w:t>
            </w:r>
            <w:r w:rsidR="00DD41D9">
              <w:t>chassis on/off switch with raw and regulated power indicating LEDs (regulated on front panel, raw on rear panel)</w:t>
            </w:r>
          </w:p>
        </w:tc>
      </w:tr>
      <w:tr w:rsidR="00AC618A" w14:paraId="2B06342F" w14:textId="77777777" w:rsidTr="00AC618A">
        <w:trPr>
          <w:jc w:val="center"/>
        </w:trPr>
        <w:tc>
          <w:tcPr>
            <w:tcW w:w="909" w:type="dxa"/>
            <w:vAlign w:val="center"/>
          </w:tcPr>
          <w:p w14:paraId="717A824C" w14:textId="49CDD6AB" w:rsidR="00AC618A" w:rsidRDefault="0014498F" w:rsidP="00BB189D">
            <w:pPr>
              <w:ind w:firstLine="0"/>
              <w:jc w:val="center"/>
            </w:pPr>
            <w:r>
              <w:t>8</w:t>
            </w:r>
          </w:p>
        </w:tc>
        <w:tc>
          <w:tcPr>
            <w:tcW w:w="5049" w:type="dxa"/>
            <w:vAlign w:val="center"/>
          </w:tcPr>
          <w:p w14:paraId="03E59E6A" w14:textId="787F0E0D" w:rsidR="00F5135E" w:rsidRDefault="001E262C" w:rsidP="00BB189D">
            <w:pPr>
              <w:ind w:firstLine="0"/>
            </w:pPr>
            <w:r>
              <w:t>Filtered</w:t>
            </w:r>
            <w:r w:rsidR="00F5135E">
              <w:t xml:space="preserve"> and adjustable by circuit component value choice</w:t>
            </w:r>
            <w:r>
              <w:t xml:space="preserve"> (&lt;</w:t>
            </w:r>
            <w:r w:rsidR="00C81F60">
              <w:t xml:space="preserve"> </w:t>
            </w:r>
            <w:r w:rsidR="002F4A4C">
              <w:t>tbd</w:t>
            </w:r>
            <w:r w:rsidR="00F5135E">
              <w:t xml:space="preserve"> V/√Hz</w:t>
            </w:r>
            <w:r w:rsidR="00C81F60">
              <w:t>) independent source of bias voltage for each preamplifier photodiode.</w:t>
            </w:r>
          </w:p>
        </w:tc>
      </w:tr>
      <w:tr w:rsidR="00F5135E" w14:paraId="6CE2C414" w14:textId="77777777" w:rsidTr="00AC618A">
        <w:trPr>
          <w:jc w:val="center"/>
        </w:trPr>
        <w:tc>
          <w:tcPr>
            <w:tcW w:w="909" w:type="dxa"/>
            <w:vAlign w:val="center"/>
          </w:tcPr>
          <w:p w14:paraId="73EB8ABB" w14:textId="52893125" w:rsidR="00F5135E" w:rsidRDefault="00F5135E" w:rsidP="00BB189D">
            <w:pPr>
              <w:ind w:firstLine="0"/>
              <w:jc w:val="center"/>
            </w:pPr>
            <w:r>
              <w:t>9</w:t>
            </w:r>
          </w:p>
        </w:tc>
        <w:tc>
          <w:tcPr>
            <w:tcW w:w="5049" w:type="dxa"/>
            <w:vAlign w:val="center"/>
          </w:tcPr>
          <w:p w14:paraId="2E361C27" w14:textId="78ABB2BE" w:rsidR="00F5135E" w:rsidRDefault="00F5135E" w:rsidP="00BB189D">
            <w:pPr>
              <w:ind w:firstLine="0"/>
            </w:pPr>
            <w:r>
              <w:t>Rear panel real-time DAC excitation input to inject calibration signals to either or both preamplifier heads. Pin-type 9-pin Dsub interface.</w:t>
            </w:r>
          </w:p>
        </w:tc>
      </w:tr>
    </w:tbl>
    <w:p w14:paraId="09AA5FE8" w14:textId="77777777" w:rsidR="0070210A" w:rsidRDefault="0070210A" w:rsidP="00041162">
      <w:pPr>
        <w:pStyle w:val="MyBodyText"/>
        <w:jc w:val="center"/>
      </w:pPr>
    </w:p>
    <w:sectPr w:rsidR="0070210A" w:rsidSect="004C6B3C">
      <w:head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1FDC7D" w14:textId="77777777" w:rsidR="00F234F9" w:rsidRDefault="00F234F9" w:rsidP="00E428FF">
      <w:r>
        <w:separator/>
      </w:r>
    </w:p>
    <w:p w14:paraId="7E5A6C91" w14:textId="77777777" w:rsidR="00F234F9" w:rsidRDefault="00F234F9"/>
  </w:endnote>
  <w:endnote w:type="continuationSeparator" w:id="0">
    <w:p w14:paraId="27261E74" w14:textId="77777777" w:rsidR="00F234F9" w:rsidRDefault="00F234F9" w:rsidP="00E428FF">
      <w:r>
        <w:continuationSeparator/>
      </w:r>
    </w:p>
    <w:p w14:paraId="7C6B09B3" w14:textId="77777777" w:rsidR="00F234F9" w:rsidRDefault="00F234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67189" w14:textId="77777777" w:rsidR="00F234F9" w:rsidRDefault="00F234F9" w:rsidP="00E428FF">
      <w:r>
        <w:separator/>
      </w:r>
    </w:p>
    <w:p w14:paraId="3A2E79C6" w14:textId="77777777" w:rsidR="00F234F9" w:rsidRDefault="00F234F9"/>
  </w:footnote>
  <w:footnote w:type="continuationSeparator" w:id="0">
    <w:p w14:paraId="0D523312" w14:textId="77777777" w:rsidR="00F234F9" w:rsidRDefault="00F234F9" w:rsidP="00E428FF">
      <w:r>
        <w:continuationSeparator/>
      </w:r>
    </w:p>
    <w:p w14:paraId="257DF2DC" w14:textId="77777777" w:rsidR="00F234F9" w:rsidRDefault="00F234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99B7E" w14:textId="72CB5FF0" w:rsidR="00D17AE8" w:rsidRDefault="000A79CE" w:rsidP="00E428FF">
    <w:pPr>
      <w:pStyle w:val="Header"/>
    </w:pPr>
    <w:r>
      <w:ptab w:relativeTo="margin" w:alignment="right" w:leader="none"/>
    </w:r>
    <w:r w:rsidR="00D17AE8">
      <w:t xml:space="preserve"> </w:t>
    </w:r>
    <w:r w:rsidR="005B4C10">
      <w:t>E2</w:t>
    </w:r>
    <w:r w:rsidR="00CF4151">
      <w:t>1</w:t>
    </w:r>
    <w:r w:rsidR="005B4C10">
      <w:t>00</w:t>
    </w:r>
    <w:r w:rsidR="00CF4151">
      <w:t>08</w:t>
    </w:r>
    <w:r w:rsidR="000076C1">
      <w:t>2</w:t>
    </w:r>
    <w:r w:rsidR="00D17AE8">
      <w:t>-v</w:t>
    </w:r>
    <w:r w:rsidR="00CD1EDA">
      <w:t>1</w:t>
    </w:r>
    <w:r w:rsidR="00D17AE8">
      <w:t xml:space="preserve">, Page </w:t>
    </w:r>
    <w:r w:rsidR="00D17AE8">
      <w:fldChar w:fldCharType="begin"/>
    </w:r>
    <w:r w:rsidR="00D17AE8">
      <w:instrText xml:space="preserve"> PAGE   \* MERGEFORMAT </w:instrText>
    </w:r>
    <w:r w:rsidR="00D17AE8">
      <w:fldChar w:fldCharType="separate"/>
    </w:r>
    <w:r w:rsidR="00234CB5">
      <w:rPr>
        <w:noProof/>
      </w:rPr>
      <w:t>1</w:t>
    </w:r>
    <w:r w:rsidR="00D17AE8">
      <w:rPr>
        <w:noProof/>
      </w:rPr>
      <w:fldChar w:fldCharType="end"/>
    </w:r>
  </w:p>
  <w:p w14:paraId="2F8EEE22" w14:textId="77777777" w:rsidR="00D17AE8" w:rsidRDefault="00D17AE8" w:rsidP="00E428FF">
    <w:pPr>
      <w:pStyle w:val="Header"/>
    </w:pPr>
  </w:p>
  <w:p w14:paraId="397344A3" w14:textId="77777777" w:rsidR="00A72F7D" w:rsidRDefault="00A72F7D"/>
  <w:p w14:paraId="17573637" w14:textId="77777777" w:rsidR="00A527A6" w:rsidRDefault="00A527A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D571F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05FF3D93"/>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7864A97"/>
    <w:multiLevelType w:val="hybridMultilevel"/>
    <w:tmpl w:val="957A16B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83872F8"/>
    <w:multiLevelType w:val="hybridMultilevel"/>
    <w:tmpl w:val="0C94C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DD2A1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EB9748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F240714"/>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7" w15:restartNumberingAfterBreak="0">
    <w:nsid w:val="116334A8"/>
    <w:multiLevelType w:val="hybridMultilevel"/>
    <w:tmpl w:val="1E120F78"/>
    <w:lvl w:ilvl="0" w:tplc="1E9A85D0">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B3456F9"/>
    <w:multiLevelType w:val="hybridMultilevel"/>
    <w:tmpl w:val="68EEF292"/>
    <w:lvl w:ilvl="0" w:tplc="1A325FC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842B84"/>
    <w:multiLevelType w:val="hybridMultilevel"/>
    <w:tmpl w:val="2946D73E"/>
    <w:lvl w:ilvl="0" w:tplc="04090015">
      <w:start w:val="1"/>
      <w:numFmt w:val="upperLetter"/>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3A07C1"/>
    <w:multiLevelType w:val="hybridMultilevel"/>
    <w:tmpl w:val="59FEBF06"/>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2616B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F520AA6"/>
    <w:multiLevelType w:val="hybridMultilevel"/>
    <w:tmpl w:val="8DC074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0BD7120"/>
    <w:multiLevelType w:val="hybridMultilevel"/>
    <w:tmpl w:val="A346352A"/>
    <w:lvl w:ilvl="0" w:tplc="A1B043C0">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15E13AF"/>
    <w:multiLevelType w:val="hybridMultilevel"/>
    <w:tmpl w:val="37F892D0"/>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1979F5"/>
    <w:multiLevelType w:val="multilevel"/>
    <w:tmpl w:val="2F86AB3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35036D9F"/>
    <w:multiLevelType w:val="hybridMultilevel"/>
    <w:tmpl w:val="99CCB85A"/>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6465CC4"/>
    <w:multiLevelType w:val="hybridMultilevel"/>
    <w:tmpl w:val="7EBC86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84177E"/>
    <w:multiLevelType w:val="multilevel"/>
    <w:tmpl w:val="0409001F"/>
    <w:lvl w:ilvl="0">
      <w:start w:val="1"/>
      <w:numFmt w:val="decimal"/>
      <w:lvlText w:val="%1."/>
      <w:lvlJc w:val="left"/>
      <w:pPr>
        <w:tabs>
          <w:tab w:val="num" w:pos="1080"/>
        </w:tabs>
        <w:ind w:left="1080" w:hanging="360"/>
      </w:pPr>
    </w:lvl>
    <w:lvl w:ilvl="1">
      <w:start w:val="1"/>
      <w:numFmt w:val="decimal"/>
      <w:lvlText w:val="%1.%2."/>
      <w:lvlJc w:val="left"/>
      <w:pPr>
        <w:tabs>
          <w:tab w:val="num" w:pos="1512"/>
        </w:tabs>
        <w:ind w:left="1512" w:hanging="432"/>
      </w:pPr>
    </w:lvl>
    <w:lvl w:ilvl="2">
      <w:start w:val="1"/>
      <w:numFmt w:val="decimal"/>
      <w:lvlText w:val="%1.%2.%3."/>
      <w:lvlJc w:val="left"/>
      <w:pPr>
        <w:tabs>
          <w:tab w:val="num" w:pos="2160"/>
        </w:tabs>
        <w:ind w:left="1944" w:hanging="504"/>
      </w:p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9" w15:restartNumberingAfterBreak="0">
    <w:nsid w:val="3F1D0C99"/>
    <w:multiLevelType w:val="hybridMultilevel"/>
    <w:tmpl w:val="0A34AC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13C597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42811312"/>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476E07BA"/>
    <w:multiLevelType w:val="hybridMultilevel"/>
    <w:tmpl w:val="21ECE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C7905F9"/>
    <w:multiLevelType w:val="hybridMultilevel"/>
    <w:tmpl w:val="9FE21EA8"/>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1B00538"/>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540C22C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5AFD676B"/>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27" w15:restartNumberingAfterBreak="0">
    <w:nsid w:val="6209329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3C95931"/>
    <w:multiLevelType w:val="hybridMultilevel"/>
    <w:tmpl w:val="7442851E"/>
    <w:lvl w:ilvl="0" w:tplc="04090001">
      <w:start w:val="1"/>
      <w:numFmt w:val="bullet"/>
      <w:lvlText w:val=""/>
      <w:lvlJc w:val="left"/>
      <w:pPr>
        <w:ind w:left="1080" w:hanging="360"/>
      </w:pPr>
      <w:rPr>
        <w:rFonts w:ascii="Symbol" w:hAnsi="Symbol"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D6C1D36"/>
    <w:multiLevelType w:val="hybridMultilevel"/>
    <w:tmpl w:val="AFD86C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6D0547"/>
    <w:multiLevelType w:val="hybridMultilevel"/>
    <w:tmpl w:val="2B90A77A"/>
    <w:lvl w:ilvl="0" w:tplc="04090001">
      <w:start w:val="1"/>
      <w:numFmt w:val="bullet"/>
      <w:lvlText w:val=""/>
      <w:lvlJc w:val="left"/>
      <w:pPr>
        <w:tabs>
          <w:tab w:val="num" w:pos="720"/>
        </w:tabs>
        <w:ind w:left="720" w:hanging="360"/>
      </w:pPr>
      <w:rPr>
        <w:rFonts w:ascii="Symbol" w:hAnsi="Symbol" w:hint="default"/>
      </w:rPr>
    </w:lvl>
    <w:lvl w:ilvl="1" w:tplc="04090015">
      <w:start w:val="1"/>
      <w:numFmt w:val="upp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5B43D7E"/>
    <w:multiLevelType w:val="hybridMultilevel"/>
    <w:tmpl w:val="8F88FA3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6E500A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779D134E"/>
    <w:multiLevelType w:val="hybridMultilevel"/>
    <w:tmpl w:val="4C4693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8D59BE"/>
    <w:multiLevelType w:val="hybridMultilevel"/>
    <w:tmpl w:val="6076047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F98470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5"/>
  </w:num>
  <w:num w:numId="3">
    <w:abstractNumId w:val="4"/>
  </w:num>
  <w:num w:numId="4">
    <w:abstractNumId w:val="26"/>
  </w:num>
  <w:num w:numId="5">
    <w:abstractNumId w:val="24"/>
  </w:num>
  <w:num w:numId="6">
    <w:abstractNumId w:val="18"/>
  </w:num>
  <w:num w:numId="7">
    <w:abstractNumId w:val="2"/>
  </w:num>
  <w:num w:numId="8">
    <w:abstractNumId w:val="29"/>
  </w:num>
  <w:num w:numId="9">
    <w:abstractNumId w:val="9"/>
  </w:num>
  <w:num w:numId="10">
    <w:abstractNumId w:val="3"/>
  </w:num>
  <w:num w:numId="11">
    <w:abstractNumId w:val="14"/>
  </w:num>
  <w:num w:numId="12">
    <w:abstractNumId w:val="31"/>
  </w:num>
  <w:num w:numId="13">
    <w:abstractNumId w:val="10"/>
  </w:num>
  <w:num w:numId="14">
    <w:abstractNumId w:val="30"/>
  </w:num>
  <w:num w:numId="15">
    <w:abstractNumId w:val="23"/>
  </w:num>
  <w:num w:numId="16">
    <w:abstractNumId w:val="16"/>
  </w:num>
  <w:num w:numId="17">
    <w:abstractNumId w:val="34"/>
  </w:num>
  <w:num w:numId="18">
    <w:abstractNumId w:val="11"/>
  </w:num>
  <w:num w:numId="19">
    <w:abstractNumId w:val="35"/>
  </w:num>
  <w:num w:numId="20">
    <w:abstractNumId w:val="20"/>
  </w:num>
  <w:num w:numId="21">
    <w:abstractNumId w:val="1"/>
  </w:num>
  <w:num w:numId="22">
    <w:abstractNumId w:val="27"/>
  </w:num>
  <w:num w:numId="23">
    <w:abstractNumId w:val="25"/>
  </w:num>
  <w:num w:numId="24">
    <w:abstractNumId w:val="21"/>
  </w:num>
  <w:num w:numId="25">
    <w:abstractNumId w:val="0"/>
  </w:num>
  <w:num w:numId="26">
    <w:abstractNumId w:val="32"/>
  </w:num>
  <w:num w:numId="27">
    <w:abstractNumId w:val="19"/>
  </w:num>
  <w:num w:numId="28">
    <w:abstractNumId w:val="28"/>
  </w:num>
  <w:num w:numId="29">
    <w:abstractNumId w:val="15"/>
  </w:num>
  <w:num w:numId="30">
    <w:abstractNumId w:val="13"/>
  </w:num>
  <w:num w:numId="31">
    <w:abstractNumId w:val="7"/>
  </w:num>
  <w:num w:numId="32">
    <w:abstractNumId w:val="33"/>
  </w:num>
  <w:num w:numId="33">
    <w:abstractNumId w:val="8"/>
  </w:num>
  <w:num w:numId="34">
    <w:abstractNumId w:val="12"/>
  </w:num>
  <w:num w:numId="35">
    <w:abstractNumId w:val="22"/>
  </w:num>
  <w:num w:numId="36">
    <w:abstractNumId w:val="17"/>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B65CC"/>
    <w:rsid w:val="00002467"/>
    <w:rsid w:val="0000649B"/>
    <w:rsid w:val="000076C1"/>
    <w:rsid w:val="0001128D"/>
    <w:rsid w:val="00013898"/>
    <w:rsid w:val="000138BC"/>
    <w:rsid w:val="000156E6"/>
    <w:rsid w:val="00020C74"/>
    <w:rsid w:val="00023D68"/>
    <w:rsid w:val="00026FCC"/>
    <w:rsid w:val="00033008"/>
    <w:rsid w:val="00033B3D"/>
    <w:rsid w:val="00036A22"/>
    <w:rsid w:val="00036BE6"/>
    <w:rsid w:val="00036DC4"/>
    <w:rsid w:val="00041162"/>
    <w:rsid w:val="00041D5C"/>
    <w:rsid w:val="00042CEB"/>
    <w:rsid w:val="00043FA5"/>
    <w:rsid w:val="000452E7"/>
    <w:rsid w:val="00045DEF"/>
    <w:rsid w:val="00045FFA"/>
    <w:rsid w:val="00053321"/>
    <w:rsid w:val="00056ADF"/>
    <w:rsid w:val="00061DB4"/>
    <w:rsid w:val="00063E05"/>
    <w:rsid w:val="00074D15"/>
    <w:rsid w:val="00074E1A"/>
    <w:rsid w:val="000766A1"/>
    <w:rsid w:val="0007725F"/>
    <w:rsid w:val="00080457"/>
    <w:rsid w:val="00080817"/>
    <w:rsid w:val="000812D9"/>
    <w:rsid w:val="0008232A"/>
    <w:rsid w:val="0008368E"/>
    <w:rsid w:val="0008646A"/>
    <w:rsid w:val="00086D5A"/>
    <w:rsid w:val="0009213B"/>
    <w:rsid w:val="00097A6E"/>
    <w:rsid w:val="00097A72"/>
    <w:rsid w:val="000A15F1"/>
    <w:rsid w:val="000A51B6"/>
    <w:rsid w:val="000A5A70"/>
    <w:rsid w:val="000A6DE3"/>
    <w:rsid w:val="000A7155"/>
    <w:rsid w:val="000A75E8"/>
    <w:rsid w:val="000A79CE"/>
    <w:rsid w:val="000B4252"/>
    <w:rsid w:val="000C162B"/>
    <w:rsid w:val="000C4591"/>
    <w:rsid w:val="000C4816"/>
    <w:rsid w:val="000C4E41"/>
    <w:rsid w:val="000C64A2"/>
    <w:rsid w:val="000D61DD"/>
    <w:rsid w:val="000D696A"/>
    <w:rsid w:val="000E00F0"/>
    <w:rsid w:val="000E1232"/>
    <w:rsid w:val="000E413B"/>
    <w:rsid w:val="000E4927"/>
    <w:rsid w:val="000E746F"/>
    <w:rsid w:val="000F2C08"/>
    <w:rsid w:val="000F4561"/>
    <w:rsid w:val="000F6EC5"/>
    <w:rsid w:val="00103952"/>
    <w:rsid w:val="00107439"/>
    <w:rsid w:val="00110837"/>
    <w:rsid w:val="00112E6E"/>
    <w:rsid w:val="001147FE"/>
    <w:rsid w:val="00114AC8"/>
    <w:rsid w:val="0011534B"/>
    <w:rsid w:val="00117BB6"/>
    <w:rsid w:val="001202A9"/>
    <w:rsid w:val="00123CF6"/>
    <w:rsid w:val="00124F5D"/>
    <w:rsid w:val="00130612"/>
    <w:rsid w:val="00130C14"/>
    <w:rsid w:val="00132FE9"/>
    <w:rsid w:val="00133874"/>
    <w:rsid w:val="00136E5B"/>
    <w:rsid w:val="00137735"/>
    <w:rsid w:val="00140332"/>
    <w:rsid w:val="001420F9"/>
    <w:rsid w:val="0014498F"/>
    <w:rsid w:val="0015546E"/>
    <w:rsid w:val="001570E5"/>
    <w:rsid w:val="00157C26"/>
    <w:rsid w:val="0016115D"/>
    <w:rsid w:val="00161828"/>
    <w:rsid w:val="0016399F"/>
    <w:rsid w:val="00164864"/>
    <w:rsid w:val="00172360"/>
    <w:rsid w:val="001725CC"/>
    <w:rsid w:val="00173BA5"/>
    <w:rsid w:val="00176FA6"/>
    <w:rsid w:val="00181BF8"/>
    <w:rsid w:val="001835F4"/>
    <w:rsid w:val="001862C3"/>
    <w:rsid w:val="001872F7"/>
    <w:rsid w:val="00190141"/>
    <w:rsid w:val="00190C63"/>
    <w:rsid w:val="0019283B"/>
    <w:rsid w:val="00194575"/>
    <w:rsid w:val="00195EBE"/>
    <w:rsid w:val="001A04E1"/>
    <w:rsid w:val="001A0E81"/>
    <w:rsid w:val="001A31B2"/>
    <w:rsid w:val="001A53FB"/>
    <w:rsid w:val="001A7DEA"/>
    <w:rsid w:val="001B2152"/>
    <w:rsid w:val="001B2CC8"/>
    <w:rsid w:val="001B45B7"/>
    <w:rsid w:val="001B50E8"/>
    <w:rsid w:val="001B573A"/>
    <w:rsid w:val="001B626F"/>
    <w:rsid w:val="001B7414"/>
    <w:rsid w:val="001B74AB"/>
    <w:rsid w:val="001C1CA6"/>
    <w:rsid w:val="001C2956"/>
    <w:rsid w:val="001C3F96"/>
    <w:rsid w:val="001C52F5"/>
    <w:rsid w:val="001C77DA"/>
    <w:rsid w:val="001D3CE6"/>
    <w:rsid w:val="001D6695"/>
    <w:rsid w:val="001E1109"/>
    <w:rsid w:val="001E262C"/>
    <w:rsid w:val="001E598B"/>
    <w:rsid w:val="001E7E52"/>
    <w:rsid w:val="001F450E"/>
    <w:rsid w:val="00201DB6"/>
    <w:rsid w:val="00210387"/>
    <w:rsid w:val="002129CD"/>
    <w:rsid w:val="002138A2"/>
    <w:rsid w:val="002170A3"/>
    <w:rsid w:val="002202C2"/>
    <w:rsid w:val="0022099E"/>
    <w:rsid w:val="00225EE0"/>
    <w:rsid w:val="00225F6A"/>
    <w:rsid w:val="002271C1"/>
    <w:rsid w:val="002271ED"/>
    <w:rsid w:val="00231642"/>
    <w:rsid w:val="00234CB5"/>
    <w:rsid w:val="002354DF"/>
    <w:rsid w:val="00237EEE"/>
    <w:rsid w:val="002427BA"/>
    <w:rsid w:val="002453DA"/>
    <w:rsid w:val="0024664B"/>
    <w:rsid w:val="00246738"/>
    <w:rsid w:val="0024704C"/>
    <w:rsid w:val="00247B5E"/>
    <w:rsid w:val="00252B77"/>
    <w:rsid w:val="00253FC9"/>
    <w:rsid w:val="00254932"/>
    <w:rsid w:val="00260979"/>
    <w:rsid w:val="00262A25"/>
    <w:rsid w:val="00264B31"/>
    <w:rsid w:val="002650B7"/>
    <w:rsid w:val="00266877"/>
    <w:rsid w:val="00267880"/>
    <w:rsid w:val="0026789D"/>
    <w:rsid w:val="002710D5"/>
    <w:rsid w:val="00272BBB"/>
    <w:rsid w:val="00272C05"/>
    <w:rsid w:val="002737F1"/>
    <w:rsid w:val="00276FB8"/>
    <w:rsid w:val="0028497A"/>
    <w:rsid w:val="00290A7E"/>
    <w:rsid w:val="00290EC4"/>
    <w:rsid w:val="00292105"/>
    <w:rsid w:val="002950B6"/>
    <w:rsid w:val="00297CBE"/>
    <w:rsid w:val="002A01AF"/>
    <w:rsid w:val="002A2783"/>
    <w:rsid w:val="002A3373"/>
    <w:rsid w:val="002A5B65"/>
    <w:rsid w:val="002A7DA1"/>
    <w:rsid w:val="002B0352"/>
    <w:rsid w:val="002B2A38"/>
    <w:rsid w:val="002B3527"/>
    <w:rsid w:val="002B4BEB"/>
    <w:rsid w:val="002B53E2"/>
    <w:rsid w:val="002B653B"/>
    <w:rsid w:val="002B7AD8"/>
    <w:rsid w:val="002C3FA4"/>
    <w:rsid w:val="002C48D7"/>
    <w:rsid w:val="002D04D1"/>
    <w:rsid w:val="002D1F2E"/>
    <w:rsid w:val="002D4376"/>
    <w:rsid w:val="002E0871"/>
    <w:rsid w:val="002E185A"/>
    <w:rsid w:val="002E5B25"/>
    <w:rsid w:val="002E630F"/>
    <w:rsid w:val="002F1D5E"/>
    <w:rsid w:val="002F3907"/>
    <w:rsid w:val="002F443C"/>
    <w:rsid w:val="002F4629"/>
    <w:rsid w:val="002F4A4C"/>
    <w:rsid w:val="002F4F04"/>
    <w:rsid w:val="002F6B18"/>
    <w:rsid w:val="002F7725"/>
    <w:rsid w:val="00303C28"/>
    <w:rsid w:val="00305547"/>
    <w:rsid w:val="00305C7C"/>
    <w:rsid w:val="00306CCF"/>
    <w:rsid w:val="00310C23"/>
    <w:rsid w:val="00310CB4"/>
    <w:rsid w:val="003146B3"/>
    <w:rsid w:val="00316DD6"/>
    <w:rsid w:val="0032052B"/>
    <w:rsid w:val="00321FB9"/>
    <w:rsid w:val="00322850"/>
    <w:rsid w:val="00323FDC"/>
    <w:rsid w:val="00327039"/>
    <w:rsid w:val="00330E9A"/>
    <w:rsid w:val="003323E5"/>
    <w:rsid w:val="0033465D"/>
    <w:rsid w:val="00334BB5"/>
    <w:rsid w:val="00337517"/>
    <w:rsid w:val="003376FB"/>
    <w:rsid w:val="0034063B"/>
    <w:rsid w:val="00341564"/>
    <w:rsid w:val="00342AA6"/>
    <w:rsid w:val="00343984"/>
    <w:rsid w:val="00344290"/>
    <w:rsid w:val="00345DFC"/>
    <w:rsid w:val="00346797"/>
    <w:rsid w:val="0035680E"/>
    <w:rsid w:val="0036056A"/>
    <w:rsid w:val="00365027"/>
    <w:rsid w:val="00366F7E"/>
    <w:rsid w:val="00367AE1"/>
    <w:rsid w:val="003751D6"/>
    <w:rsid w:val="00376FF7"/>
    <w:rsid w:val="003824A5"/>
    <w:rsid w:val="00384CD7"/>
    <w:rsid w:val="003855BC"/>
    <w:rsid w:val="00385E4E"/>
    <w:rsid w:val="00386E85"/>
    <w:rsid w:val="003923FB"/>
    <w:rsid w:val="00392B53"/>
    <w:rsid w:val="003940BB"/>
    <w:rsid w:val="003972BB"/>
    <w:rsid w:val="003A1D17"/>
    <w:rsid w:val="003A566D"/>
    <w:rsid w:val="003B19E1"/>
    <w:rsid w:val="003B2AA2"/>
    <w:rsid w:val="003B4D60"/>
    <w:rsid w:val="003B65CC"/>
    <w:rsid w:val="003C667E"/>
    <w:rsid w:val="003C7248"/>
    <w:rsid w:val="003D5BC2"/>
    <w:rsid w:val="003E32BF"/>
    <w:rsid w:val="003E780E"/>
    <w:rsid w:val="003E7BA4"/>
    <w:rsid w:val="003E7EF4"/>
    <w:rsid w:val="003F11E9"/>
    <w:rsid w:val="003F2F61"/>
    <w:rsid w:val="003F4F31"/>
    <w:rsid w:val="003F5DB4"/>
    <w:rsid w:val="00401245"/>
    <w:rsid w:val="004027B0"/>
    <w:rsid w:val="00404391"/>
    <w:rsid w:val="00413080"/>
    <w:rsid w:val="004226E5"/>
    <w:rsid w:val="004263E0"/>
    <w:rsid w:val="00427D6D"/>
    <w:rsid w:val="00430DAD"/>
    <w:rsid w:val="0043107E"/>
    <w:rsid w:val="0043160D"/>
    <w:rsid w:val="00437BA5"/>
    <w:rsid w:val="00440746"/>
    <w:rsid w:val="004409BB"/>
    <w:rsid w:val="004443A7"/>
    <w:rsid w:val="004449B8"/>
    <w:rsid w:val="00444A6C"/>
    <w:rsid w:val="00444C2A"/>
    <w:rsid w:val="00446745"/>
    <w:rsid w:val="0045292B"/>
    <w:rsid w:val="00454666"/>
    <w:rsid w:val="00454A80"/>
    <w:rsid w:val="00455760"/>
    <w:rsid w:val="00455F48"/>
    <w:rsid w:val="00455FAE"/>
    <w:rsid w:val="004575E3"/>
    <w:rsid w:val="004578C9"/>
    <w:rsid w:val="004606B2"/>
    <w:rsid w:val="004614AE"/>
    <w:rsid w:val="004715D1"/>
    <w:rsid w:val="00473826"/>
    <w:rsid w:val="00473C26"/>
    <w:rsid w:val="004804C6"/>
    <w:rsid w:val="00480C12"/>
    <w:rsid w:val="00480CB9"/>
    <w:rsid w:val="00482801"/>
    <w:rsid w:val="00483B6A"/>
    <w:rsid w:val="00483BAA"/>
    <w:rsid w:val="00483D41"/>
    <w:rsid w:val="00484147"/>
    <w:rsid w:val="004848AD"/>
    <w:rsid w:val="00485E0D"/>
    <w:rsid w:val="00492C62"/>
    <w:rsid w:val="00494F38"/>
    <w:rsid w:val="00496C04"/>
    <w:rsid w:val="0049724C"/>
    <w:rsid w:val="004975F7"/>
    <w:rsid w:val="004A04E0"/>
    <w:rsid w:val="004A38A4"/>
    <w:rsid w:val="004A41BD"/>
    <w:rsid w:val="004A51CB"/>
    <w:rsid w:val="004A6E86"/>
    <w:rsid w:val="004B37B2"/>
    <w:rsid w:val="004B43D9"/>
    <w:rsid w:val="004B4BB6"/>
    <w:rsid w:val="004B6FE1"/>
    <w:rsid w:val="004C16F4"/>
    <w:rsid w:val="004C2833"/>
    <w:rsid w:val="004C37C6"/>
    <w:rsid w:val="004C41E8"/>
    <w:rsid w:val="004C46D9"/>
    <w:rsid w:val="004C6B3C"/>
    <w:rsid w:val="004D52AE"/>
    <w:rsid w:val="004E0CAD"/>
    <w:rsid w:val="004E172F"/>
    <w:rsid w:val="004E3C88"/>
    <w:rsid w:val="004E6E40"/>
    <w:rsid w:val="004F0056"/>
    <w:rsid w:val="004F24E0"/>
    <w:rsid w:val="004F5D66"/>
    <w:rsid w:val="004F6FED"/>
    <w:rsid w:val="004F7269"/>
    <w:rsid w:val="005018FB"/>
    <w:rsid w:val="00503552"/>
    <w:rsid w:val="0050393C"/>
    <w:rsid w:val="00503D1C"/>
    <w:rsid w:val="005042AA"/>
    <w:rsid w:val="00504FBA"/>
    <w:rsid w:val="00505461"/>
    <w:rsid w:val="00507FAC"/>
    <w:rsid w:val="00512582"/>
    <w:rsid w:val="00514367"/>
    <w:rsid w:val="00514A03"/>
    <w:rsid w:val="0052098C"/>
    <w:rsid w:val="005223B2"/>
    <w:rsid w:val="00523DB7"/>
    <w:rsid w:val="00526114"/>
    <w:rsid w:val="0052657A"/>
    <w:rsid w:val="00532D3D"/>
    <w:rsid w:val="005336B1"/>
    <w:rsid w:val="0053383E"/>
    <w:rsid w:val="00534D07"/>
    <w:rsid w:val="0054091C"/>
    <w:rsid w:val="00540C9B"/>
    <w:rsid w:val="0054410A"/>
    <w:rsid w:val="00545596"/>
    <w:rsid w:val="005461F8"/>
    <w:rsid w:val="00550A67"/>
    <w:rsid w:val="0055182B"/>
    <w:rsid w:val="005528C3"/>
    <w:rsid w:val="0056152F"/>
    <w:rsid w:val="005667AC"/>
    <w:rsid w:val="0057093F"/>
    <w:rsid w:val="00571E64"/>
    <w:rsid w:val="005731E3"/>
    <w:rsid w:val="00573C49"/>
    <w:rsid w:val="00580665"/>
    <w:rsid w:val="00580848"/>
    <w:rsid w:val="0058521E"/>
    <w:rsid w:val="00587685"/>
    <w:rsid w:val="00594837"/>
    <w:rsid w:val="00594B79"/>
    <w:rsid w:val="00595715"/>
    <w:rsid w:val="00595F7F"/>
    <w:rsid w:val="00596F57"/>
    <w:rsid w:val="00597195"/>
    <w:rsid w:val="005A2FF8"/>
    <w:rsid w:val="005A54E4"/>
    <w:rsid w:val="005A6E97"/>
    <w:rsid w:val="005A7CEF"/>
    <w:rsid w:val="005B02E2"/>
    <w:rsid w:val="005B0378"/>
    <w:rsid w:val="005B05A8"/>
    <w:rsid w:val="005B3547"/>
    <w:rsid w:val="005B39EB"/>
    <w:rsid w:val="005B4C10"/>
    <w:rsid w:val="005C150D"/>
    <w:rsid w:val="005C2C3B"/>
    <w:rsid w:val="005C2CB9"/>
    <w:rsid w:val="005C2EC9"/>
    <w:rsid w:val="005C36BF"/>
    <w:rsid w:val="005C3751"/>
    <w:rsid w:val="005C5B3C"/>
    <w:rsid w:val="005C61CB"/>
    <w:rsid w:val="005C7445"/>
    <w:rsid w:val="005C757C"/>
    <w:rsid w:val="005D1718"/>
    <w:rsid w:val="005D1E41"/>
    <w:rsid w:val="005D40EF"/>
    <w:rsid w:val="005E2C06"/>
    <w:rsid w:val="005E398A"/>
    <w:rsid w:val="005E4B83"/>
    <w:rsid w:val="005F0A4F"/>
    <w:rsid w:val="0060196B"/>
    <w:rsid w:val="00602121"/>
    <w:rsid w:val="006058DA"/>
    <w:rsid w:val="00607BE9"/>
    <w:rsid w:val="00611F9D"/>
    <w:rsid w:val="00615E98"/>
    <w:rsid w:val="00615F2B"/>
    <w:rsid w:val="0061727D"/>
    <w:rsid w:val="00621EFA"/>
    <w:rsid w:val="00624146"/>
    <w:rsid w:val="00625A5F"/>
    <w:rsid w:val="006263A2"/>
    <w:rsid w:val="0063361B"/>
    <w:rsid w:val="00634AE1"/>
    <w:rsid w:val="00635811"/>
    <w:rsid w:val="00636FDE"/>
    <w:rsid w:val="00637C91"/>
    <w:rsid w:val="00640B61"/>
    <w:rsid w:val="00641283"/>
    <w:rsid w:val="0064181D"/>
    <w:rsid w:val="00644220"/>
    <w:rsid w:val="00644C88"/>
    <w:rsid w:val="00645315"/>
    <w:rsid w:val="006470C6"/>
    <w:rsid w:val="00652577"/>
    <w:rsid w:val="006579D4"/>
    <w:rsid w:val="00660316"/>
    <w:rsid w:val="00661066"/>
    <w:rsid w:val="00666971"/>
    <w:rsid w:val="00671CA8"/>
    <w:rsid w:val="00672491"/>
    <w:rsid w:val="006815BD"/>
    <w:rsid w:val="00681DA0"/>
    <w:rsid w:val="0068303F"/>
    <w:rsid w:val="0068341B"/>
    <w:rsid w:val="006838CF"/>
    <w:rsid w:val="0069504B"/>
    <w:rsid w:val="00696B67"/>
    <w:rsid w:val="00697054"/>
    <w:rsid w:val="0069784F"/>
    <w:rsid w:val="006A0531"/>
    <w:rsid w:val="006A1A40"/>
    <w:rsid w:val="006A210E"/>
    <w:rsid w:val="006A23B4"/>
    <w:rsid w:val="006A48F0"/>
    <w:rsid w:val="006B132F"/>
    <w:rsid w:val="006B2D15"/>
    <w:rsid w:val="006C15B9"/>
    <w:rsid w:val="006C48A9"/>
    <w:rsid w:val="006C58B2"/>
    <w:rsid w:val="006C6544"/>
    <w:rsid w:val="006C78C9"/>
    <w:rsid w:val="006D0B9C"/>
    <w:rsid w:val="006D0F26"/>
    <w:rsid w:val="006D131D"/>
    <w:rsid w:val="006D163D"/>
    <w:rsid w:val="006D1AA6"/>
    <w:rsid w:val="006D21F2"/>
    <w:rsid w:val="006D25AE"/>
    <w:rsid w:val="006D2D7A"/>
    <w:rsid w:val="006D3C22"/>
    <w:rsid w:val="006D5358"/>
    <w:rsid w:val="006D5F3F"/>
    <w:rsid w:val="006D7943"/>
    <w:rsid w:val="006E259C"/>
    <w:rsid w:val="006E56EF"/>
    <w:rsid w:val="006E5846"/>
    <w:rsid w:val="006E6666"/>
    <w:rsid w:val="006E6688"/>
    <w:rsid w:val="006F299D"/>
    <w:rsid w:val="006F4C73"/>
    <w:rsid w:val="006F5B2B"/>
    <w:rsid w:val="006F5FDC"/>
    <w:rsid w:val="006F6C17"/>
    <w:rsid w:val="006F735E"/>
    <w:rsid w:val="0070210A"/>
    <w:rsid w:val="00707347"/>
    <w:rsid w:val="0071019C"/>
    <w:rsid w:val="00710F7C"/>
    <w:rsid w:val="00711801"/>
    <w:rsid w:val="00712332"/>
    <w:rsid w:val="00713579"/>
    <w:rsid w:val="007164B1"/>
    <w:rsid w:val="00716855"/>
    <w:rsid w:val="00721108"/>
    <w:rsid w:val="0072176B"/>
    <w:rsid w:val="0072222E"/>
    <w:rsid w:val="00722AA1"/>
    <w:rsid w:val="00726A2A"/>
    <w:rsid w:val="00726D6C"/>
    <w:rsid w:val="0072716A"/>
    <w:rsid w:val="00727630"/>
    <w:rsid w:val="00727EDA"/>
    <w:rsid w:val="007307C8"/>
    <w:rsid w:val="007327F2"/>
    <w:rsid w:val="00732E15"/>
    <w:rsid w:val="00733D66"/>
    <w:rsid w:val="00733F73"/>
    <w:rsid w:val="00735ABB"/>
    <w:rsid w:val="0074083E"/>
    <w:rsid w:val="00741F6E"/>
    <w:rsid w:val="007453DA"/>
    <w:rsid w:val="00745976"/>
    <w:rsid w:val="00745F50"/>
    <w:rsid w:val="00753EEE"/>
    <w:rsid w:val="0075447A"/>
    <w:rsid w:val="00755ED3"/>
    <w:rsid w:val="00756615"/>
    <w:rsid w:val="007571AD"/>
    <w:rsid w:val="00771CC8"/>
    <w:rsid w:val="00773ED8"/>
    <w:rsid w:val="007741E8"/>
    <w:rsid w:val="00777248"/>
    <w:rsid w:val="0078402E"/>
    <w:rsid w:val="0078404B"/>
    <w:rsid w:val="00791884"/>
    <w:rsid w:val="00792F3C"/>
    <w:rsid w:val="00793EAF"/>
    <w:rsid w:val="00796962"/>
    <w:rsid w:val="00796D21"/>
    <w:rsid w:val="007973D6"/>
    <w:rsid w:val="007A0565"/>
    <w:rsid w:val="007A0FC8"/>
    <w:rsid w:val="007A0FC9"/>
    <w:rsid w:val="007A5A58"/>
    <w:rsid w:val="007A7FBF"/>
    <w:rsid w:val="007B1B45"/>
    <w:rsid w:val="007B26F2"/>
    <w:rsid w:val="007B3EC5"/>
    <w:rsid w:val="007B4217"/>
    <w:rsid w:val="007C27BA"/>
    <w:rsid w:val="007C576C"/>
    <w:rsid w:val="007C676A"/>
    <w:rsid w:val="007C7332"/>
    <w:rsid w:val="007D27E6"/>
    <w:rsid w:val="007D398D"/>
    <w:rsid w:val="007D55AA"/>
    <w:rsid w:val="007D68F8"/>
    <w:rsid w:val="007D752D"/>
    <w:rsid w:val="007D7E8E"/>
    <w:rsid w:val="007E120E"/>
    <w:rsid w:val="007E12C4"/>
    <w:rsid w:val="007E1F91"/>
    <w:rsid w:val="007F1C18"/>
    <w:rsid w:val="007F1DCD"/>
    <w:rsid w:val="007F1E0F"/>
    <w:rsid w:val="007F5D89"/>
    <w:rsid w:val="00801200"/>
    <w:rsid w:val="0080162D"/>
    <w:rsid w:val="008019DE"/>
    <w:rsid w:val="008074CF"/>
    <w:rsid w:val="00807E54"/>
    <w:rsid w:val="008150B8"/>
    <w:rsid w:val="00815CF4"/>
    <w:rsid w:val="008160CA"/>
    <w:rsid w:val="00824920"/>
    <w:rsid w:val="00825193"/>
    <w:rsid w:val="00831226"/>
    <w:rsid w:val="00831F48"/>
    <w:rsid w:val="0083557A"/>
    <w:rsid w:val="00837E45"/>
    <w:rsid w:val="00842C19"/>
    <w:rsid w:val="008474BE"/>
    <w:rsid w:val="00851003"/>
    <w:rsid w:val="00855F1A"/>
    <w:rsid w:val="00857177"/>
    <w:rsid w:val="00857B76"/>
    <w:rsid w:val="00857C60"/>
    <w:rsid w:val="008629F7"/>
    <w:rsid w:val="0086330A"/>
    <w:rsid w:val="00864094"/>
    <w:rsid w:val="00866DE7"/>
    <w:rsid w:val="00870135"/>
    <w:rsid w:val="00872AAF"/>
    <w:rsid w:val="00873E41"/>
    <w:rsid w:val="00880BBA"/>
    <w:rsid w:val="00880D40"/>
    <w:rsid w:val="00880F09"/>
    <w:rsid w:val="008830D5"/>
    <w:rsid w:val="00883259"/>
    <w:rsid w:val="00883339"/>
    <w:rsid w:val="00884ED5"/>
    <w:rsid w:val="00885CBE"/>
    <w:rsid w:val="00887355"/>
    <w:rsid w:val="0089229B"/>
    <w:rsid w:val="008956DB"/>
    <w:rsid w:val="008A2E05"/>
    <w:rsid w:val="008A3872"/>
    <w:rsid w:val="008A4A60"/>
    <w:rsid w:val="008A577C"/>
    <w:rsid w:val="008B3D14"/>
    <w:rsid w:val="008B3E12"/>
    <w:rsid w:val="008B6E88"/>
    <w:rsid w:val="008C014D"/>
    <w:rsid w:val="008C0FE4"/>
    <w:rsid w:val="008C7458"/>
    <w:rsid w:val="008D21A0"/>
    <w:rsid w:val="008D392F"/>
    <w:rsid w:val="008D5D6D"/>
    <w:rsid w:val="008D6ACA"/>
    <w:rsid w:val="008D6B32"/>
    <w:rsid w:val="008E2636"/>
    <w:rsid w:val="008E40AE"/>
    <w:rsid w:val="008E4411"/>
    <w:rsid w:val="008E538A"/>
    <w:rsid w:val="008E600F"/>
    <w:rsid w:val="008E6682"/>
    <w:rsid w:val="008E70BD"/>
    <w:rsid w:val="008F1E81"/>
    <w:rsid w:val="008F1E8B"/>
    <w:rsid w:val="008F441D"/>
    <w:rsid w:val="008F4ABC"/>
    <w:rsid w:val="008F6B5F"/>
    <w:rsid w:val="00901C40"/>
    <w:rsid w:val="00904DBA"/>
    <w:rsid w:val="00905B06"/>
    <w:rsid w:val="00906BA4"/>
    <w:rsid w:val="00911D73"/>
    <w:rsid w:val="00914CFD"/>
    <w:rsid w:val="00917567"/>
    <w:rsid w:val="009211CE"/>
    <w:rsid w:val="00921B4F"/>
    <w:rsid w:val="00925C11"/>
    <w:rsid w:val="00937B32"/>
    <w:rsid w:val="00940295"/>
    <w:rsid w:val="00945B4C"/>
    <w:rsid w:val="00945D28"/>
    <w:rsid w:val="009468A7"/>
    <w:rsid w:val="00947E3F"/>
    <w:rsid w:val="00950750"/>
    <w:rsid w:val="00952DC3"/>
    <w:rsid w:val="009542BB"/>
    <w:rsid w:val="00954C25"/>
    <w:rsid w:val="009562EC"/>
    <w:rsid w:val="009617C9"/>
    <w:rsid w:val="00962D9A"/>
    <w:rsid w:val="00963910"/>
    <w:rsid w:val="00964177"/>
    <w:rsid w:val="009659A3"/>
    <w:rsid w:val="0096656D"/>
    <w:rsid w:val="00972C2A"/>
    <w:rsid w:val="00973E87"/>
    <w:rsid w:val="009803FC"/>
    <w:rsid w:val="00983DA8"/>
    <w:rsid w:val="009855FD"/>
    <w:rsid w:val="009862A4"/>
    <w:rsid w:val="0099146C"/>
    <w:rsid w:val="00991D09"/>
    <w:rsid w:val="009A5DF6"/>
    <w:rsid w:val="009B07F1"/>
    <w:rsid w:val="009B1F83"/>
    <w:rsid w:val="009B20A3"/>
    <w:rsid w:val="009B74E0"/>
    <w:rsid w:val="009C07DA"/>
    <w:rsid w:val="009C241E"/>
    <w:rsid w:val="009C2B67"/>
    <w:rsid w:val="009C7052"/>
    <w:rsid w:val="009C71B6"/>
    <w:rsid w:val="009C73D4"/>
    <w:rsid w:val="009C75FC"/>
    <w:rsid w:val="009D0991"/>
    <w:rsid w:val="009D0CAC"/>
    <w:rsid w:val="009D2741"/>
    <w:rsid w:val="009D4FAF"/>
    <w:rsid w:val="009D5428"/>
    <w:rsid w:val="009D7285"/>
    <w:rsid w:val="009E0BC8"/>
    <w:rsid w:val="009E1C26"/>
    <w:rsid w:val="009E297A"/>
    <w:rsid w:val="009F16A7"/>
    <w:rsid w:val="009F1BB8"/>
    <w:rsid w:val="009F4E00"/>
    <w:rsid w:val="009F5F45"/>
    <w:rsid w:val="009F6194"/>
    <w:rsid w:val="00A0179E"/>
    <w:rsid w:val="00A02C9D"/>
    <w:rsid w:val="00A07C7B"/>
    <w:rsid w:val="00A101DC"/>
    <w:rsid w:val="00A10261"/>
    <w:rsid w:val="00A107CD"/>
    <w:rsid w:val="00A11004"/>
    <w:rsid w:val="00A11D1E"/>
    <w:rsid w:val="00A2715A"/>
    <w:rsid w:val="00A27A7B"/>
    <w:rsid w:val="00A303B7"/>
    <w:rsid w:val="00A3072E"/>
    <w:rsid w:val="00A31E69"/>
    <w:rsid w:val="00A31EEE"/>
    <w:rsid w:val="00A3208A"/>
    <w:rsid w:val="00A42EF1"/>
    <w:rsid w:val="00A43730"/>
    <w:rsid w:val="00A45250"/>
    <w:rsid w:val="00A46644"/>
    <w:rsid w:val="00A469C6"/>
    <w:rsid w:val="00A527A6"/>
    <w:rsid w:val="00A56828"/>
    <w:rsid w:val="00A57A05"/>
    <w:rsid w:val="00A57F34"/>
    <w:rsid w:val="00A6057D"/>
    <w:rsid w:val="00A64483"/>
    <w:rsid w:val="00A71085"/>
    <w:rsid w:val="00A71F03"/>
    <w:rsid w:val="00A72F7D"/>
    <w:rsid w:val="00A75355"/>
    <w:rsid w:val="00A76E40"/>
    <w:rsid w:val="00A81FC2"/>
    <w:rsid w:val="00A82370"/>
    <w:rsid w:val="00A84AA7"/>
    <w:rsid w:val="00A85EA4"/>
    <w:rsid w:val="00A86F9E"/>
    <w:rsid w:val="00A8738B"/>
    <w:rsid w:val="00A91386"/>
    <w:rsid w:val="00A92E9D"/>
    <w:rsid w:val="00A95AA5"/>
    <w:rsid w:val="00A97C10"/>
    <w:rsid w:val="00AA03B4"/>
    <w:rsid w:val="00AA06DF"/>
    <w:rsid w:val="00AA226D"/>
    <w:rsid w:val="00AA331C"/>
    <w:rsid w:val="00AA3DA6"/>
    <w:rsid w:val="00AA4CC0"/>
    <w:rsid w:val="00AA5C4C"/>
    <w:rsid w:val="00AB2297"/>
    <w:rsid w:val="00AB32CF"/>
    <w:rsid w:val="00AB4D00"/>
    <w:rsid w:val="00AC0A54"/>
    <w:rsid w:val="00AC14DD"/>
    <w:rsid w:val="00AC16B4"/>
    <w:rsid w:val="00AC1742"/>
    <w:rsid w:val="00AC2A46"/>
    <w:rsid w:val="00AC3905"/>
    <w:rsid w:val="00AC5085"/>
    <w:rsid w:val="00AC618A"/>
    <w:rsid w:val="00AD0A15"/>
    <w:rsid w:val="00AD3ADA"/>
    <w:rsid w:val="00AD3FBA"/>
    <w:rsid w:val="00AD560B"/>
    <w:rsid w:val="00AD67F0"/>
    <w:rsid w:val="00AD735D"/>
    <w:rsid w:val="00AE24DA"/>
    <w:rsid w:val="00AE37DC"/>
    <w:rsid w:val="00AE5E9B"/>
    <w:rsid w:val="00AF4966"/>
    <w:rsid w:val="00B0329B"/>
    <w:rsid w:val="00B15D8C"/>
    <w:rsid w:val="00B171EE"/>
    <w:rsid w:val="00B17403"/>
    <w:rsid w:val="00B176CD"/>
    <w:rsid w:val="00B2055A"/>
    <w:rsid w:val="00B21541"/>
    <w:rsid w:val="00B261C6"/>
    <w:rsid w:val="00B314CC"/>
    <w:rsid w:val="00B3164D"/>
    <w:rsid w:val="00B32FDE"/>
    <w:rsid w:val="00B34A17"/>
    <w:rsid w:val="00B34D7B"/>
    <w:rsid w:val="00B35250"/>
    <w:rsid w:val="00B3528F"/>
    <w:rsid w:val="00B52897"/>
    <w:rsid w:val="00B561DE"/>
    <w:rsid w:val="00B63289"/>
    <w:rsid w:val="00B7002F"/>
    <w:rsid w:val="00B71E95"/>
    <w:rsid w:val="00B720BC"/>
    <w:rsid w:val="00B72798"/>
    <w:rsid w:val="00B76074"/>
    <w:rsid w:val="00B76A59"/>
    <w:rsid w:val="00B81019"/>
    <w:rsid w:val="00B825E2"/>
    <w:rsid w:val="00B84A04"/>
    <w:rsid w:val="00B86F2E"/>
    <w:rsid w:val="00B870F6"/>
    <w:rsid w:val="00B90061"/>
    <w:rsid w:val="00B90A42"/>
    <w:rsid w:val="00B90F55"/>
    <w:rsid w:val="00B9417B"/>
    <w:rsid w:val="00B95B3A"/>
    <w:rsid w:val="00BA05A4"/>
    <w:rsid w:val="00BA1435"/>
    <w:rsid w:val="00BA1B19"/>
    <w:rsid w:val="00BA57EE"/>
    <w:rsid w:val="00BB11E4"/>
    <w:rsid w:val="00BB189D"/>
    <w:rsid w:val="00BB457F"/>
    <w:rsid w:val="00BB4803"/>
    <w:rsid w:val="00BB5567"/>
    <w:rsid w:val="00BD676B"/>
    <w:rsid w:val="00BD7C22"/>
    <w:rsid w:val="00BE0D86"/>
    <w:rsid w:val="00BE17F0"/>
    <w:rsid w:val="00BE1F26"/>
    <w:rsid w:val="00BE36C1"/>
    <w:rsid w:val="00BE5704"/>
    <w:rsid w:val="00BE57D4"/>
    <w:rsid w:val="00BE6B28"/>
    <w:rsid w:val="00BF1FC9"/>
    <w:rsid w:val="00BF278F"/>
    <w:rsid w:val="00BF3C42"/>
    <w:rsid w:val="00C0132C"/>
    <w:rsid w:val="00C024AA"/>
    <w:rsid w:val="00C0345D"/>
    <w:rsid w:val="00C05D7D"/>
    <w:rsid w:val="00C07CA8"/>
    <w:rsid w:val="00C13719"/>
    <w:rsid w:val="00C155B9"/>
    <w:rsid w:val="00C17AE2"/>
    <w:rsid w:val="00C22B7B"/>
    <w:rsid w:val="00C25453"/>
    <w:rsid w:val="00C26D9F"/>
    <w:rsid w:val="00C27443"/>
    <w:rsid w:val="00C341A0"/>
    <w:rsid w:val="00C349B8"/>
    <w:rsid w:val="00C34CA9"/>
    <w:rsid w:val="00C34EAE"/>
    <w:rsid w:val="00C3607E"/>
    <w:rsid w:val="00C41157"/>
    <w:rsid w:val="00C41F83"/>
    <w:rsid w:val="00C43DDB"/>
    <w:rsid w:val="00C43EC2"/>
    <w:rsid w:val="00C457BB"/>
    <w:rsid w:val="00C459B0"/>
    <w:rsid w:val="00C46103"/>
    <w:rsid w:val="00C461A4"/>
    <w:rsid w:val="00C464D1"/>
    <w:rsid w:val="00C47540"/>
    <w:rsid w:val="00C47A0F"/>
    <w:rsid w:val="00C51123"/>
    <w:rsid w:val="00C51333"/>
    <w:rsid w:val="00C52F71"/>
    <w:rsid w:val="00C53A09"/>
    <w:rsid w:val="00C6057E"/>
    <w:rsid w:val="00C60C9C"/>
    <w:rsid w:val="00C62ECD"/>
    <w:rsid w:val="00C6458B"/>
    <w:rsid w:val="00C65489"/>
    <w:rsid w:val="00C65709"/>
    <w:rsid w:val="00C6608A"/>
    <w:rsid w:val="00C66588"/>
    <w:rsid w:val="00C67579"/>
    <w:rsid w:val="00C71304"/>
    <w:rsid w:val="00C71D0F"/>
    <w:rsid w:val="00C726C9"/>
    <w:rsid w:val="00C73843"/>
    <w:rsid w:val="00C74D73"/>
    <w:rsid w:val="00C75C23"/>
    <w:rsid w:val="00C7697D"/>
    <w:rsid w:val="00C77A84"/>
    <w:rsid w:val="00C801B6"/>
    <w:rsid w:val="00C81F60"/>
    <w:rsid w:val="00C84263"/>
    <w:rsid w:val="00C84E92"/>
    <w:rsid w:val="00C84FC5"/>
    <w:rsid w:val="00C87443"/>
    <w:rsid w:val="00C90C26"/>
    <w:rsid w:val="00C91FF7"/>
    <w:rsid w:val="00C93779"/>
    <w:rsid w:val="00C95FD8"/>
    <w:rsid w:val="00CA1193"/>
    <w:rsid w:val="00CA1885"/>
    <w:rsid w:val="00CA60AC"/>
    <w:rsid w:val="00CB7197"/>
    <w:rsid w:val="00CC1B27"/>
    <w:rsid w:val="00CC3266"/>
    <w:rsid w:val="00CC366E"/>
    <w:rsid w:val="00CC3D6B"/>
    <w:rsid w:val="00CC7E65"/>
    <w:rsid w:val="00CD1EDA"/>
    <w:rsid w:val="00CD276A"/>
    <w:rsid w:val="00CE0C99"/>
    <w:rsid w:val="00CE6316"/>
    <w:rsid w:val="00CE7F2D"/>
    <w:rsid w:val="00CF4151"/>
    <w:rsid w:val="00CF6401"/>
    <w:rsid w:val="00D0007C"/>
    <w:rsid w:val="00D02A27"/>
    <w:rsid w:val="00D0609E"/>
    <w:rsid w:val="00D06170"/>
    <w:rsid w:val="00D06B0D"/>
    <w:rsid w:val="00D11351"/>
    <w:rsid w:val="00D157AC"/>
    <w:rsid w:val="00D1743C"/>
    <w:rsid w:val="00D17A89"/>
    <w:rsid w:val="00D17AE8"/>
    <w:rsid w:val="00D17C99"/>
    <w:rsid w:val="00D21045"/>
    <w:rsid w:val="00D249A2"/>
    <w:rsid w:val="00D26B31"/>
    <w:rsid w:val="00D2722A"/>
    <w:rsid w:val="00D309E3"/>
    <w:rsid w:val="00D30DC4"/>
    <w:rsid w:val="00D30FDF"/>
    <w:rsid w:val="00D31240"/>
    <w:rsid w:val="00D32181"/>
    <w:rsid w:val="00D33068"/>
    <w:rsid w:val="00D33093"/>
    <w:rsid w:val="00D34641"/>
    <w:rsid w:val="00D352DA"/>
    <w:rsid w:val="00D40DA4"/>
    <w:rsid w:val="00D4186C"/>
    <w:rsid w:val="00D43168"/>
    <w:rsid w:val="00D45557"/>
    <w:rsid w:val="00D47805"/>
    <w:rsid w:val="00D628B2"/>
    <w:rsid w:val="00D63687"/>
    <w:rsid w:val="00D66C2A"/>
    <w:rsid w:val="00D67726"/>
    <w:rsid w:val="00D7080B"/>
    <w:rsid w:val="00D7159C"/>
    <w:rsid w:val="00D71DD2"/>
    <w:rsid w:val="00D7466B"/>
    <w:rsid w:val="00D75BCA"/>
    <w:rsid w:val="00D762D3"/>
    <w:rsid w:val="00D77C79"/>
    <w:rsid w:val="00D82375"/>
    <w:rsid w:val="00D8262E"/>
    <w:rsid w:val="00D83F87"/>
    <w:rsid w:val="00D8456E"/>
    <w:rsid w:val="00D86DCD"/>
    <w:rsid w:val="00D903CF"/>
    <w:rsid w:val="00D930E0"/>
    <w:rsid w:val="00D94309"/>
    <w:rsid w:val="00DA16A1"/>
    <w:rsid w:val="00DA3117"/>
    <w:rsid w:val="00DB3D56"/>
    <w:rsid w:val="00DB5B68"/>
    <w:rsid w:val="00DC16BA"/>
    <w:rsid w:val="00DC374A"/>
    <w:rsid w:val="00DC397F"/>
    <w:rsid w:val="00DC5573"/>
    <w:rsid w:val="00DC65A0"/>
    <w:rsid w:val="00DC67C0"/>
    <w:rsid w:val="00DC69CF"/>
    <w:rsid w:val="00DD0806"/>
    <w:rsid w:val="00DD284D"/>
    <w:rsid w:val="00DD34DB"/>
    <w:rsid w:val="00DD3B18"/>
    <w:rsid w:val="00DD41D9"/>
    <w:rsid w:val="00DD4761"/>
    <w:rsid w:val="00DD4CAB"/>
    <w:rsid w:val="00DD70F9"/>
    <w:rsid w:val="00DE10F8"/>
    <w:rsid w:val="00DE1B35"/>
    <w:rsid w:val="00DE34AE"/>
    <w:rsid w:val="00DE5A94"/>
    <w:rsid w:val="00DF07F3"/>
    <w:rsid w:val="00DF402E"/>
    <w:rsid w:val="00E0055B"/>
    <w:rsid w:val="00E0372F"/>
    <w:rsid w:val="00E052F1"/>
    <w:rsid w:val="00E13C8C"/>
    <w:rsid w:val="00E150BB"/>
    <w:rsid w:val="00E150D4"/>
    <w:rsid w:val="00E1641A"/>
    <w:rsid w:val="00E22BB9"/>
    <w:rsid w:val="00E246E0"/>
    <w:rsid w:val="00E27399"/>
    <w:rsid w:val="00E30D4F"/>
    <w:rsid w:val="00E32741"/>
    <w:rsid w:val="00E33A9B"/>
    <w:rsid w:val="00E33DB1"/>
    <w:rsid w:val="00E34AD9"/>
    <w:rsid w:val="00E34B0D"/>
    <w:rsid w:val="00E4114B"/>
    <w:rsid w:val="00E412E6"/>
    <w:rsid w:val="00E428FF"/>
    <w:rsid w:val="00E45E98"/>
    <w:rsid w:val="00E46ACD"/>
    <w:rsid w:val="00E47CFF"/>
    <w:rsid w:val="00E529A9"/>
    <w:rsid w:val="00E55D02"/>
    <w:rsid w:val="00E60023"/>
    <w:rsid w:val="00E6176C"/>
    <w:rsid w:val="00E6622A"/>
    <w:rsid w:val="00E66E0C"/>
    <w:rsid w:val="00E70676"/>
    <w:rsid w:val="00E715CD"/>
    <w:rsid w:val="00E72B18"/>
    <w:rsid w:val="00E72ED8"/>
    <w:rsid w:val="00E743A7"/>
    <w:rsid w:val="00E767FC"/>
    <w:rsid w:val="00E82F8A"/>
    <w:rsid w:val="00E8300F"/>
    <w:rsid w:val="00E8338A"/>
    <w:rsid w:val="00E8465A"/>
    <w:rsid w:val="00E86643"/>
    <w:rsid w:val="00E868C8"/>
    <w:rsid w:val="00E872B2"/>
    <w:rsid w:val="00E8746F"/>
    <w:rsid w:val="00E91E56"/>
    <w:rsid w:val="00E93F57"/>
    <w:rsid w:val="00E93FDA"/>
    <w:rsid w:val="00E94A6A"/>
    <w:rsid w:val="00E96502"/>
    <w:rsid w:val="00E9739E"/>
    <w:rsid w:val="00EA401E"/>
    <w:rsid w:val="00EA6564"/>
    <w:rsid w:val="00EB0030"/>
    <w:rsid w:val="00EB145F"/>
    <w:rsid w:val="00EB6174"/>
    <w:rsid w:val="00EC0098"/>
    <w:rsid w:val="00EC03B7"/>
    <w:rsid w:val="00EC087D"/>
    <w:rsid w:val="00EC18B4"/>
    <w:rsid w:val="00EC3351"/>
    <w:rsid w:val="00EC35CF"/>
    <w:rsid w:val="00EC47A5"/>
    <w:rsid w:val="00EC492F"/>
    <w:rsid w:val="00EC5F14"/>
    <w:rsid w:val="00EC7ED9"/>
    <w:rsid w:val="00ED02D8"/>
    <w:rsid w:val="00ED1559"/>
    <w:rsid w:val="00ED1655"/>
    <w:rsid w:val="00ED47E2"/>
    <w:rsid w:val="00ED4CFE"/>
    <w:rsid w:val="00ED549B"/>
    <w:rsid w:val="00ED5747"/>
    <w:rsid w:val="00EE0BD1"/>
    <w:rsid w:val="00EE5FF2"/>
    <w:rsid w:val="00EE6FB6"/>
    <w:rsid w:val="00EF23AC"/>
    <w:rsid w:val="00EF6B2C"/>
    <w:rsid w:val="00F01539"/>
    <w:rsid w:val="00F017AD"/>
    <w:rsid w:val="00F01B15"/>
    <w:rsid w:val="00F0333F"/>
    <w:rsid w:val="00F0469A"/>
    <w:rsid w:val="00F05F8B"/>
    <w:rsid w:val="00F0654B"/>
    <w:rsid w:val="00F10701"/>
    <w:rsid w:val="00F10751"/>
    <w:rsid w:val="00F11C05"/>
    <w:rsid w:val="00F16F82"/>
    <w:rsid w:val="00F17366"/>
    <w:rsid w:val="00F20A96"/>
    <w:rsid w:val="00F234F9"/>
    <w:rsid w:val="00F235F0"/>
    <w:rsid w:val="00F37315"/>
    <w:rsid w:val="00F3746D"/>
    <w:rsid w:val="00F41B0A"/>
    <w:rsid w:val="00F4306E"/>
    <w:rsid w:val="00F44463"/>
    <w:rsid w:val="00F50E2C"/>
    <w:rsid w:val="00F5135E"/>
    <w:rsid w:val="00F55572"/>
    <w:rsid w:val="00F57CB7"/>
    <w:rsid w:val="00F61679"/>
    <w:rsid w:val="00F66065"/>
    <w:rsid w:val="00F67738"/>
    <w:rsid w:val="00F70D32"/>
    <w:rsid w:val="00F7539E"/>
    <w:rsid w:val="00F77A35"/>
    <w:rsid w:val="00F800C1"/>
    <w:rsid w:val="00F82DBF"/>
    <w:rsid w:val="00F82DFC"/>
    <w:rsid w:val="00F83BA1"/>
    <w:rsid w:val="00F84E10"/>
    <w:rsid w:val="00F8504C"/>
    <w:rsid w:val="00F920B7"/>
    <w:rsid w:val="00F96721"/>
    <w:rsid w:val="00F97107"/>
    <w:rsid w:val="00FA1569"/>
    <w:rsid w:val="00FA1E47"/>
    <w:rsid w:val="00FA2F1E"/>
    <w:rsid w:val="00FA60F8"/>
    <w:rsid w:val="00FB0D73"/>
    <w:rsid w:val="00FB21B1"/>
    <w:rsid w:val="00FB3AFB"/>
    <w:rsid w:val="00FB76CA"/>
    <w:rsid w:val="00FC29CA"/>
    <w:rsid w:val="00FC37F3"/>
    <w:rsid w:val="00FC61C6"/>
    <w:rsid w:val="00FC77FB"/>
    <w:rsid w:val="00FD0818"/>
    <w:rsid w:val="00FD0DF4"/>
    <w:rsid w:val="00FD280B"/>
    <w:rsid w:val="00FD4411"/>
    <w:rsid w:val="00FE188F"/>
    <w:rsid w:val="00FE2E69"/>
    <w:rsid w:val="00FE3361"/>
    <w:rsid w:val="00FE3C99"/>
    <w:rsid w:val="00FE4049"/>
    <w:rsid w:val="00FE52DF"/>
    <w:rsid w:val="00FE6AC8"/>
    <w:rsid w:val="00FF65DB"/>
    <w:rsid w:val="00FF6743"/>
    <w:rsid w:val="00FF6A7C"/>
    <w:rsid w:val="00FF6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56E2C2"/>
  <w15:docId w15:val="{23650626-42F2-45C1-9175-34CC4FD4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MyNormal"/>
    <w:qFormat/>
    <w:rsid w:val="00AD560B"/>
    <w:pPr>
      <w:ind w:firstLine="360"/>
    </w:pPr>
  </w:style>
  <w:style w:type="paragraph" w:styleId="Heading1">
    <w:name w:val="heading 1"/>
    <w:aliases w:val="MyHeading 1"/>
    <w:basedOn w:val="NoSpacing"/>
    <w:next w:val="NoSpacing"/>
    <w:link w:val="Heading1Char"/>
    <w:qFormat/>
    <w:rsid w:val="00AD560B"/>
    <w:pPr>
      <w:keepNext/>
      <w:keepLines/>
      <w:numPr>
        <w:numId w:val="29"/>
      </w:numPr>
      <w:spacing w:before="480"/>
      <w:contextualSpacing/>
      <w:outlineLvl w:val="0"/>
    </w:pPr>
    <w:rPr>
      <w:rFonts w:asciiTheme="majorHAnsi" w:eastAsiaTheme="majorEastAsia" w:hAnsiTheme="majorHAnsi" w:cstheme="majorBidi"/>
      <w:bCs/>
      <w:color w:val="000000" w:themeColor="text1"/>
      <w:sz w:val="28"/>
      <w:szCs w:val="28"/>
    </w:rPr>
  </w:style>
  <w:style w:type="paragraph" w:styleId="Heading2">
    <w:name w:val="heading 2"/>
    <w:aliases w:val="MyHeading 2"/>
    <w:basedOn w:val="Normal"/>
    <w:next w:val="Normal"/>
    <w:link w:val="Heading2Char"/>
    <w:unhideWhenUsed/>
    <w:qFormat/>
    <w:rsid w:val="004F7269"/>
    <w:pPr>
      <w:keepNext/>
      <w:keepLines/>
      <w:numPr>
        <w:ilvl w:val="1"/>
        <w:numId w:val="29"/>
      </w:numPr>
      <w:spacing w:before="200"/>
      <w:contextualSpacing/>
      <w:outlineLvl w:val="1"/>
    </w:pPr>
    <w:rPr>
      <w:rFonts w:asciiTheme="majorHAnsi" w:eastAsiaTheme="majorEastAsia" w:hAnsiTheme="majorHAnsi" w:cstheme="majorBidi"/>
      <w:bCs/>
      <w:color w:val="000000" w:themeColor="text1"/>
      <w:sz w:val="26"/>
      <w:szCs w:val="26"/>
    </w:rPr>
  </w:style>
  <w:style w:type="paragraph" w:styleId="Heading3">
    <w:name w:val="heading 3"/>
    <w:aliases w:val="MyHeading 3"/>
    <w:basedOn w:val="Normal"/>
    <w:next w:val="Normal"/>
    <w:link w:val="Heading3Char"/>
    <w:unhideWhenUsed/>
    <w:qFormat/>
    <w:rsid w:val="00580848"/>
    <w:pPr>
      <w:keepNext/>
      <w:keepLines/>
      <w:numPr>
        <w:ilvl w:val="2"/>
        <w:numId w:val="29"/>
      </w:numPr>
      <w:spacing w:before="200"/>
      <w:outlineLvl w:val="2"/>
    </w:pPr>
    <w:rPr>
      <w:rFonts w:asciiTheme="majorHAnsi" w:eastAsiaTheme="majorEastAsia" w:hAnsiTheme="majorHAnsi" w:cstheme="majorBidi"/>
      <w:bCs/>
      <w:color w:val="000000" w:themeColor="text1"/>
    </w:rPr>
  </w:style>
  <w:style w:type="paragraph" w:styleId="Heading4">
    <w:name w:val="heading 4"/>
    <w:basedOn w:val="Normal"/>
    <w:next w:val="Normal"/>
    <w:link w:val="Heading4Char"/>
    <w:semiHidden/>
    <w:unhideWhenUsed/>
    <w:qFormat/>
    <w:rsid w:val="00E428FF"/>
    <w:pPr>
      <w:keepNext/>
      <w:keepLines/>
      <w:numPr>
        <w:ilvl w:val="3"/>
        <w:numId w:val="29"/>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E428FF"/>
    <w:pPr>
      <w:keepNext/>
      <w:keepLines/>
      <w:numPr>
        <w:ilvl w:val="4"/>
        <w:numId w:val="29"/>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E428FF"/>
    <w:pPr>
      <w:keepNext/>
      <w:keepLines/>
      <w:numPr>
        <w:ilvl w:val="5"/>
        <w:numId w:val="29"/>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428FF"/>
    <w:pPr>
      <w:keepNext/>
      <w:keepLines/>
      <w:numPr>
        <w:ilvl w:val="6"/>
        <w:numId w:val="29"/>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E428FF"/>
    <w:pPr>
      <w:keepNext/>
      <w:keepLines/>
      <w:numPr>
        <w:ilvl w:val="7"/>
        <w:numId w:val="2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E428FF"/>
    <w:pPr>
      <w:keepNext/>
      <w:keepLines/>
      <w:numPr>
        <w:ilvl w:val="8"/>
        <w:numId w:val="29"/>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MyCaption"/>
    <w:basedOn w:val="Normal"/>
    <w:next w:val="Normal"/>
    <w:qFormat/>
    <w:rsid w:val="00571E64"/>
    <w:pPr>
      <w:keepNext/>
      <w:spacing w:after="120"/>
      <w:ind w:firstLine="0"/>
    </w:pPr>
    <w:rPr>
      <w:b/>
      <w:bCs/>
      <w:color w:val="17365D" w:themeColor="text2" w:themeShade="BF"/>
      <w:sz w:val="24"/>
      <w:szCs w:val="24"/>
    </w:rPr>
  </w:style>
  <w:style w:type="table" w:styleId="TableGrid">
    <w:name w:val="Table Grid"/>
    <w:basedOn w:val="TableNormal"/>
    <w:rsid w:val="00E32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17AE8"/>
    <w:pPr>
      <w:tabs>
        <w:tab w:val="center" w:pos="4680"/>
        <w:tab w:val="right" w:pos="9360"/>
      </w:tabs>
    </w:pPr>
  </w:style>
  <w:style w:type="character" w:customStyle="1" w:styleId="HeaderChar">
    <w:name w:val="Header Char"/>
    <w:basedOn w:val="DefaultParagraphFont"/>
    <w:link w:val="Header"/>
    <w:uiPriority w:val="99"/>
    <w:rsid w:val="00D17AE8"/>
    <w:rPr>
      <w:sz w:val="24"/>
      <w:szCs w:val="24"/>
    </w:rPr>
  </w:style>
  <w:style w:type="paragraph" w:styleId="Footer">
    <w:name w:val="footer"/>
    <w:basedOn w:val="Normal"/>
    <w:link w:val="FooterChar"/>
    <w:rsid w:val="00D17AE8"/>
    <w:pPr>
      <w:tabs>
        <w:tab w:val="center" w:pos="4680"/>
        <w:tab w:val="right" w:pos="9360"/>
      </w:tabs>
    </w:pPr>
  </w:style>
  <w:style w:type="character" w:customStyle="1" w:styleId="FooterChar">
    <w:name w:val="Footer Char"/>
    <w:basedOn w:val="DefaultParagraphFont"/>
    <w:link w:val="Footer"/>
    <w:rsid w:val="00D17AE8"/>
    <w:rPr>
      <w:sz w:val="24"/>
      <w:szCs w:val="24"/>
    </w:rPr>
  </w:style>
  <w:style w:type="paragraph" w:styleId="BalloonText">
    <w:name w:val="Balloon Text"/>
    <w:basedOn w:val="Normal"/>
    <w:link w:val="BalloonTextChar"/>
    <w:rsid w:val="00514367"/>
    <w:rPr>
      <w:rFonts w:ascii="Tahoma" w:hAnsi="Tahoma" w:cs="Tahoma"/>
      <w:sz w:val="16"/>
      <w:szCs w:val="16"/>
    </w:rPr>
  </w:style>
  <w:style w:type="character" w:customStyle="1" w:styleId="BalloonTextChar">
    <w:name w:val="Balloon Text Char"/>
    <w:basedOn w:val="DefaultParagraphFont"/>
    <w:link w:val="BalloonText"/>
    <w:rsid w:val="00514367"/>
    <w:rPr>
      <w:rFonts w:ascii="Tahoma" w:hAnsi="Tahoma" w:cs="Tahoma"/>
      <w:sz w:val="16"/>
      <w:szCs w:val="16"/>
    </w:rPr>
  </w:style>
  <w:style w:type="character" w:customStyle="1" w:styleId="Heading2Char">
    <w:name w:val="Heading 2 Char"/>
    <w:aliases w:val="MyHeading 2 Char"/>
    <w:basedOn w:val="DefaultParagraphFont"/>
    <w:link w:val="Heading2"/>
    <w:rsid w:val="004F7269"/>
    <w:rPr>
      <w:rFonts w:asciiTheme="majorHAnsi" w:eastAsiaTheme="majorEastAsia" w:hAnsiTheme="majorHAnsi" w:cstheme="majorBidi"/>
      <w:bCs/>
      <w:color w:val="000000" w:themeColor="text1"/>
      <w:sz w:val="26"/>
      <w:szCs w:val="26"/>
    </w:rPr>
  </w:style>
  <w:style w:type="character" w:customStyle="1" w:styleId="Heading3Char">
    <w:name w:val="Heading 3 Char"/>
    <w:aliases w:val="MyHeading 3 Char"/>
    <w:basedOn w:val="DefaultParagraphFont"/>
    <w:link w:val="Heading3"/>
    <w:rsid w:val="00580848"/>
    <w:rPr>
      <w:rFonts w:asciiTheme="majorHAnsi" w:eastAsiaTheme="majorEastAsia" w:hAnsiTheme="majorHAnsi" w:cstheme="majorBidi"/>
      <w:bCs/>
      <w:color w:val="000000" w:themeColor="text1"/>
      <w:sz w:val="24"/>
      <w:szCs w:val="24"/>
    </w:rPr>
  </w:style>
  <w:style w:type="character" w:customStyle="1" w:styleId="Heading1Char">
    <w:name w:val="Heading 1 Char"/>
    <w:aliases w:val="MyHeading 1 Char"/>
    <w:basedOn w:val="DefaultParagraphFont"/>
    <w:link w:val="Heading1"/>
    <w:rsid w:val="00AD560B"/>
    <w:rPr>
      <w:rFonts w:asciiTheme="majorHAnsi" w:eastAsiaTheme="majorEastAsia" w:hAnsiTheme="majorHAnsi" w:cstheme="majorBidi"/>
      <w:bCs/>
      <w:color w:val="000000" w:themeColor="text1"/>
      <w:sz w:val="28"/>
      <w:szCs w:val="28"/>
    </w:rPr>
  </w:style>
  <w:style w:type="character" w:customStyle="1" w:styleId="Heading4Char">
    <w:name w:val="Heading 4 Char"/>
    <w:basedOn w:val="DefaultParagraphFont"/>
    <w:link w:val="Heading4"/>
    <w:semiHidden/>
    <w:rsid w:val="00E428FF"/>
    <w:rPr>
      <w:rFonts w:asciiTheme="majorHAnsi" w:eastAsiaTheme="majorEastAsia" w:hAnsiTheme="majorHAnsi" w:cstheme="majorBidi"/>
      <w:b/>
      <w:bCs/>
      <w:i/>
      <w:iCs/>
      <w:color w:val="4F81BD" w:themeColor="accent1"/>
      <w:sz w:val="24"/>
      <w:szCs w:val="24"/>
    </w:rPr>
  </w:style>
  <w:style w:type="paragraph" w:styleId="NoSpacing">
    <w:name w:val="No Spacing"/>
    <w:uiPriority w:val="1"/>
    <w:qFormat/>
    <w:rsid w:val="009562EC"/>
    <w:rPr>
      <w:sz w:val="24"/>
      <w:szCs w:val="24"/>
    </w:rPr>
  </w:style>
  <w:style w:type="character" w:customStyle="1" w:styleId="Heading5Char">
    <w:name w:val="Heading 5 Char"/>
    <w:basedOn w:val="DefaultParagraphFont"/>
    <w:link w:val="Heading5"/>
    <w:semiHidden/>
    <w:rsid w:val="00E428FF"/>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E428FF"/>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E428FF"/>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E428F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E428FF"/>
    <w:rPr>
      <w:rFonts w:asciiTheme="majorHAnsi" w:eastAsiaTheme="majorEastAsia" w:hAnsiTheme="majorHAnsi" w:cstheme="majorBidi"/>
      <w:i/>
      <w:iCs/>
      <w:color w:val="404040" w:themeColor="text1" w:themeTint="BF"/>
    </w:rPr>
  </w:style>
  <w:style w:type="paragraph" w:customStyle="1" w:styleId="MyBodyText">
    <w:name w:val="MyBodyText"/>
    <w:basedOn w:val="Normal"/>
    <w:qFormat/>
    <w:rsid w:val="0056152F"/>
    <w:rPr>
      <w:sz w:val="24"/>
      <w:szCs w:val="24"/>
    </w:rPr>
  </w:style>
  <w:style w:type="paragraph" w:styleId="ListParagraph">
    <w:name w:val="List Paragraph"/>
    <w:basedOn w:val="Normal"/>
    <w:uiPriority w:val="34"/>
    <w:qFormat/>
    <w:rsid w:val="00483BAA"/>
    <w:pPr>
      <w:ind w:left="720"/>
      <w:contextualSpacing/>
    </w:pPr>
  </w:style>
  <w:style w:type="character" w:styleId="Hyperlink">
    <w:name w:val="Hyperlink"/>
    <w:basedOn w:val="DefaultParagraphFont"/>
    <w:unhideWhenUsed/>
    <w:rsid w:val="002F7725"/>
    <w:rPr>
      <w:color w:val="0000FF" w:themeColor="hyperlink"/>
      <w:u w:val="single"/>
    </w:rPr>
  </w:style>
  <w:style w:type="character" w:styleId="UnresolvedMention">
    <w:name w:val="Unresolved Mention"/>
    <w:basedOn w:val="DefaultParagraphFont"/>
    <w:uiPriority w:val="99"/>
    <w:semiHidden/>
    <w:unhideWhenUsed/>
    <w:rsid w:val="002F7725"/>
    <w:rPr>
      <w:color w:val="605E5C"/>
      <w:shd w:val="clear" w:color="auto" w:fill="E1DFDD"/>
    </w:rPr>
  </w:style>
  <w:style w:type="character" w:styleId="PlaceholderText">
    <w:name w:val="Placeholder Text"/>
    <w:basedOn w:val="DefaultParagraphFont"/>
    <w:uiPriority w:val="99"/>
    <w:semiHidden/>
    <w:rsid w:val="004578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240801">
      <w:bodyDiv w:val="1"/>
      <w:marLeft w:val="0"/>
      <w:marRight w:val="0"/>
      <w:marTop w:val="0"/>
      <w:marBottom w:val="0"/>
      <w:divBdr>
        <w:top w:val="none" w:sz="0" w:space="0" w:color="auto"/>
        <w:left w:val="none" w:sz="0" w:space="0" w:color="auto"/>
        <w:bottom w:val="none" w:sz="0" w:space="0" w:color="auto"/>
        <w:right w:val="none" w:sz="0" w:space="0" w:color="auto"/>
      </w:divBdr>
    </w:div>
    <w:div w:id="423457260">
      <w:bodyDiv w:val="1"/>
      <w:marLeft w:val="0"/>
      <w:marRight w:val="0"/>
      <w:marTop w:val="0"/>
      <w:marBottom w:val="0"/>
      <w:divBdr>
        <w:top w:val="none" w:sz="0" w:space="0" w:color="auto"/>
        <w:left w:val="none" w:sz="0" w:space="0" w:color="auto"/>
        <w:bottom w:val="none" w:sz="0" w:space="0" w:color="auto"/>
        <w:right w:val="none" w:sz="0" w:space="0" w:color="auto"/>
      </w:divBdr>
    </w:div>
    <w:div w:id="561647558">
      <w:bodyDiv w:val="1"/>
      <w:marLeft w:val="0"/>
      <w:marRight w:val="0"/>
      <w:marTop w:val="0"/>
      <w:marBottom w:val="0"/>
      <w:divBdr>
        <w:top w:val="none" w:sz="0" w:space="0" w:color="auto"/>
        <w:left w:val="none" w:sz="0" w:space="0" w:color="auto"/>
        <w:bottom w:val="none" w:sz="0" w:space="0" w:color="auto"/>
        <w:right w:val="none" w:sz="0" w:space="0" w:color="auto"/>
      </w:divBdr>
    </w:div>
    <w:div w:id="842356442">
      <w:bodyDiv w:val="1"/>
      <w:marLeft w:val="0"/>
      <w:marRight w:val="0"/>
      <w:marTop w:val="0"/>
      <w:marBottom w:val="0"/>
      <w:divBdr>
        <w:top w:val="none" w:sz="0" w:space="0" w:color="auto"/>
        <w:left w:val="none" w:sz="0" w:space="0" w:color="auto"/>
        <w:bottom w:val="none" w:sz="0" w:space="0" w:color="auto"/>
        <w:right w:val="none" w:sz="0" w:space="0" w:color="auto"/>
      </w:divBdr>
    </w:div>
    <w:div w:id="1105879508">
      <w:bodyDiv w:val="1"/>
      <w:marLeft w:val="0"/>
      <w:marRight w:val="0"/>
      <w:marTop w:val="0"/>
      <w:marBottom w:val="0"/>
      <w:divBdr>
        <w:top w:val="none" w:sz="0" w:space="0" w:color="auto"/>
        <w:left w:val="none" w:sz="0" w:space="0" w:color="auto"/>
        <w:bottom w:val="none" w:sz="0" w:space="0" w:color="auto"/>
        <w:right w:val="none" w:sz="0" w:space="0" w:color="auto"/>
      </w:divBdr>
    </w:div>
    <w:div w:id="1308322812">
      <w:bodyDiv w:val="1"/>
      <w:marLeft w:val="0"/>
      <w:marRight w:val="0"/>
      <w:marTop w:val="0"/>
      <w:marBottom w:val="0"/>
      <w:divBdr>
        <w:top w:val="none" w:sz="0" w:space="0" w:color="auto"/>
        <w:left w:val="none" w:sz="0" w:space="0" w:color="auto"/>
        <w:bottom w:val="none" w:sz="0" w:space="0" w:color="auto"/>
        <w:right w:val="none" w:sz="0" w:space="0" w:color="auto"/>
      </w:divBdr>
    </w:div>
    <w:div w:id="1430352972">
      <w:bodyDiv w:val="1"/>
      <w:marLeft w:val="0"/>
      <w:marRight w:val="0"/>
      <w:marTop w:val="0"/>
      <w:marBottom w:val="0"/>
      <w:divBdr>
        <w:top w:val="none" w:sz="0" w:space="0" w:color="auto"/>
        <w:left w:val="none" w:sz="0" w:space="0" w:color="auto"/>
        <w:bottom w:val="none" w:sz="0" w:space="0" w:color="auto"/>
        <w:right w:val="none" w:sz="0" w:space="0" w:color="auto"/>
      </w:divBdr>
    </w:div>
    <w:div w:id="1441606810">
      <w:bodyDiv w:val="1"/>
      <w:marLeft w:val="0"/>
      <w:marRight w:val="0"/>
      <w:marTop w:val="0"/>
      <w:marBottom w:val="0"/>
      <w:divBdr>
        <w:top w:val="none" w:sz="0" w:space="0" w:color="auto"/>
        <w:left w:val="none" w:sz="0" w:space="0" w:color="auto"/>
        <w:bottom w:val="none" w:sz="0" w:space="0" w:color="auto"/>
        <w:right w:val="none" w:sz="0" w:space="0" w:color="auto"/>
      </w:divBdr>
    </w:div>
    <w:div w:id="1593271836">
      <w:bodyDiv w:val="1"/>
      <w:marLeft w:val="0"/>
      <w:marRight w:val="0"/>
      <w:marTop w:val="0"/>
      <w:marBottom w:val="0"/>
      <w:divBdr>
        <w:top w:val="none" w:sz="0" w:space="0" w:color="auto"/>
        <w:left w:val="none" w:sz="0" w:space="0" w:color="auto"/>
        <w:bottom w:val="none" w:sz="0" w:space="0" w:color="auto"/>
        <w:right w:val="none" w:sz="0" w:space="0" w:color="auto"/>
      </w:divBdr>
      <w:divsChild>
        <w:div w:id="2099711903">
          <w:marLeft w:val="0"/>
          <w:marRight w:val="0"/>
          <w:marTop w:val="0"/>
          <w:marBottom w:val="0"/>
          <w:divBdr>
            <w:top w:val="none" w:sz="0" w:space="0" w:color="auto"/>
            <w:left w:val="none" w:sz="0" w:space="0" w:color="auto"/>
            <w:bottom w:val="none" w:sz="0" w:space="0" w:color="auto"/>
            <w:right w:val="none" w:sz="0" w:space="0" w:color="auto"/>
          </w:divBdr>
          <w:divsChild>
            <w:div w:id="62995881">
              <w:marLeft w:val="0"/>
              <w:marRight w:val="0"/>
              <w:marTop w:val="0"/>
              <w:marBottom w:val="0"/>
              <w:divBdr>
                <w:top w:val="none" w:sz="0" w:space="0" w:color="auto"/>
                <w:left w:val="none" w:sz="0" w:space="0" w:color="auto"/>
                <w:bottom w:val="none" w:sz="0" w:space="0" w:color="auto"/>
                <w:right w:val="none" w:sz="0" w:space="0" w:color="auto"/>
              </w:divBdr>
            </w:div>
            <w:div w:id="297227192">
              <w:marLeft w:val="0"/>
              <w:marRight w:val="0"/>
              <w:marTop w:val="0"/>
              <w:marBottom w:val="0"/>
              <w:divBdr>
                <w:top w:val="none" w:sz="0" w:space="0" w:color="auto"/>
                <w:left w:val="none" w:sz="0" w:space="0" w:color="auto"/>
                <w:bottom w:val="none" w:sz="0" w:space="0" w:color="auto"/>
                <w:right w:val="none" w:sz="0" w:space="0" w:color="auto"/>
              </w:divBdr>
            </w:div>
            <w:div w:id="612596189">
              <w:marLeft w:val="0"/>
              <w:marRight w:val="0"/>
              <w:marTop w:val="0"/>
              <w:marBottom w:val="0"/>
              <w:divBdr>
                <w:top w:val="none" w:sz="0" w:space="0" w:color="auto"/>
                <w:left w:val="none" w:sz="0" w:space="0" w:color="auto"/>
                <w:bottom w:val="none" w:sz="0" w:space="0" w:color="auto"/>
                <w:right w:val="none" w:sz="0" w:space="0" w:color="auto"/>
              </w:divBdr>
            </w:div>
            <w:div w:id="627705138">
              <w:marLeft w:val="0"/>
              <w:marRight w:val="0"/>
              <w:marTop w:val="0"/>
              <w:marBottom w:val="0"/>
              <w:divBdr>
                <w:top w:val="none" w:sz="0" w:space="0" w:color="auto"/>
                <w:left w:val="none" w:sz="0" w:space="0" w:color="auto"/>
                <w:bottom w:val="none" w:sz="0" w:space="0" w:color="auto"/>
                <w:right w:val="none" w:sz="0" w:space="0" w:color="auto"/>
              </w:divBdr>
            </w:div>
            <w:div w:id="800344053">
              <w:marLeft w:val="0"/>
              <w:marRight w:val="0"/>
              <w:marTop w:val="0"/>
              <w:marBottom w:val="0"/>
              <w:divBdr>
                <w:top w:val="none" w:sz="0" w:space="0" w:color="auto"/>
                <w:left w:val="none" w:sz="0" w:space="0" w:color="auto"/>
                <w:bottom w:val="none" w:sz="0" w:space="0" w:color="auto"/>
                <w:right w:val="none" w:sz="0" w:space="0" w:color="auto"/>
              </w:divBdr>
            </w:div>
            <w:div w:id="987244469">
              <w:marLeft w:val="0"/>
              <w:marRight w:val="0"/>
              <w:marTop w:val="0"/>
              <w:marBottom w:val="0"/>
              <w:divBdr>
                <w:top w:val="none" w:sz="0" w:space="0" w:color="auto"/>
                <w:left w:val="none" w:sz="0" w:space="0" w:color="auto"/>
                <w:bottom w:val="none" w:sz="0" w:space="0" w:color="auto"/>
                <w:right w:val="none" w:sz="0" w:space="0" w:color="auto"/>
              </w:divBdr>
            </w:div>
            <w:div w:id="1214200216">
              <w:marLeft w:val="0"/>
              <w:marRight w:val="0"/>
              <w:marTop w:val="0"/>
              <w:marBottom w:val="0"/>
              <w:divBdr>
                <w:top w:val="none" w:sz="0" w:space="0" w:color="auto"/>
                <w:left w:val="none" w:sz="0" w:space="0" w:color="auto"/>
                <w:bottom w:val="none" w:sz="0" w:space="0" w:color="auto"/>
                <w:right w:val="none" w:sz="0" w:space="0" w:color="auto"/>
              </w:divBdr>
            </w:div>
            <w:div w:id="1278875972">
              <w:marLeft w:val="0"/>
              <w:marRight w:val="0"/>
              <w:marTop w:val="0"/>
              <w:marBottom w:val="0"/>
              <w:divBdr>
                <w:top w:val="none" w:sz="0" w:space="0" w:color="auto"/>
                <w:left w:val="none" w:sz="0" w:space="0" w:color="auto"/>
                <w:bottom w:val="none" w:sz="0" w:space="0" w:color="auto"/>
                <w:right w:val="none" w:sz="0" w:space="0" w:color="auto"/>
              </w:divBdr>
            </w:div>
            <w:div w:id="1345861385">
              <w:marLeft w:val="0"/>
              <w:marRight w:val="0"/>
              <w:marTop w:val="0"/>
              <w:marBottom w:val="0"/>
              <w:divBdr>
                <w:top w:val="none" w:sz="0" w:space="0" w:color="auto"/>
                <w:left w:val="none" w:sz="0" w:space="0" w:color="auto"/>
                <w:bottom w:val="none" w:sz="0" w:space="0" w:color="auto"/>
                <w:right w:val="none" w:sz="0" w:space="0" w:color="auto"/>
              </w:divBdr>
            </w:div>
            <w:div w:id="1361737923">
              <w:marLeft w:val="0"/>
              <w:marRight w:val="0"/>
              <w:marTop w:val="0"/>
              <w:marBottom w:val="0"/>
              <w:divBdr>
                <w:top w:val="none" w:sz="0" w:space="0" w:color="auto"/>
                <w:left w:val="none" w:sz="0" w:space="0" w:color="auto"/>
                <w:bottom w:val="none" w:sz="0" w:space="0" w:color="auto"/>
                <w:right w:val="none" w:sz="0" w:space="0" w:color="auto"/>
              </w:divBdr>
            </w:div>
            <w:div w:id="1389648605">
              <w:marLeft w:val="0"/>
              <w:marRight w:val="0"/>
              <w:marTop w:val="0"/>
              <w:marBottom w:val="0"/>
              <w:divBdr>
                <w:top w:val="none" w:sz="0" w:space="0" w:color="auto"/>
                <w:left w:val="none" w:sz="0" w:space="0" w:color="auto"/>
                <w:bottom w:val="none" w:sz="0" w:space="0" w:color="auto"/>
                <w:right w:val="none" w:sz="0" w:space="0" w:color="auto"/>
              </w:divBdr>
            </w:div>
            <w:div w:id="1710372506">
              <w:marLeft w:val="0"/>
              <w:marRight w:val="0"/>
              <w:marTop w:val="0"/>
              <w:marBottom w:val="0"/>
              <w:divBdr>
                <w:top w:val="none" w:sz="0" w:space="0" w:color="auto"/>
                <w:left w:val="none" w:sz="0" w:space="0" w:color="auto"/>
                <w:bottom w:val="none" w:sz="0" w:space="0" w:color="auto"/>
                <w:right w:val="none" w:sz="0" w:space="0" w:color="auto"/>
              </w:divBdr>
            </w:div>
            <w:div w:id="1724019889">
              <w:marLeft w:val="0"/>
              <w:marRight w:val="0"/>
              <w:marTop w:val="0"/>
              <w:marBottom w:val="0"/>
              <w:divBdr>
                <w:top w:val="none" w:sz="0" w:space="0" w:color="auto"/>
                <w:left w:val="none" w:sz="0" w:space="0" w:color="auto"/>
                <w:bottom w:val="none" w:sz="0" w:space="0" w:color="auto"/>
                <w:right w:val="none" w:sz="0" w:space="0" w:color="auto"/>
              </w:divBdr>
            </w:div>
            <w:div w:id="1897737855">
              <w:marLeft w:val="0"/>
              <w:marRight w:val="0"/>
              <w:marTop w:val="0"/>
              <w:marBottom w:val="0"/>
              <w:divBdr>
                <w:top w:val="none" w:sz="0" w:space="0" w:color="auto"/>
                <w:left w:val="none" w:sz="0" w:space="0" w:color="auto"/>
                <w:bottom w:val="none" w:sz="0" w:space="0" w:color="auto"/>
                <w:right w:val="none" w:sz="0" w:space="0" w:color="auto"/>
              </w:divBdr>
            </w:div>
            <w:div w:id="2010789778">
              <w:marLeft w:val="0"/>
              <w:marRight w:val="0"/>
              <w:marTop w:val="0"/>
              <w:marBottom w:val="0"/>
              <w:divBdr>
                <w:top w:val="none" w:sz="0" w:space="0" w:color="auto"/>
                <w:left w:val="none" w:sz="0" w:space="0" w:color="auto"/>
                <w:bottom w:val="none" w:sz="0" w:space="0" w:color="auto"/>
                <w:right w:val="none" w:sz="0" w:space="0" w:color="auto"/>
              </w:divBdr>
            </w:div>
            <w:div w:id="21297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96669">
      <w:bodyDiv w:val="1"/>
      <w:marLeft w:val="0"/>
      <w:marRight w:val="0"/>
      <w:marTop w:val="0"/>
      <w:marBottom w:val="0"/>
      <w:divBdr>
        <w:top w:val="none" w:sz="0" w:space="0" w:color="auto"/>
        <w:left w:val="none" w:sz="0" w:space="0" w:color="auto"/>
        <w:bottom w:val="none" w:sz="0" w:space="0" w:color="auto"/>
        <w:right w:val="none" w:sz="0" w:space="0" w:color="auto"/>
      </w:divBdr>
    </w:div>
    <w:div w:id="184231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image" Target="media/image5.png"/><Relationship Id="rId10" Type="http://schemas.openxmlformats.org/officeDocument/2006/relationships/hyperlink" Target="https://dcc.ligo.org/LIGO-D2000592" TargetMode="External"/><Relationship Id="rId19" Type="http://schemas.openxmlformats.org/officeDocument/2006/relationships/image" Target="media/image9.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B1A52EDBAF90458BAED06AD9B5835A" ma:contentTypeVersion="7" ma:contentTypeDescription="Create a new document." ma:contentTypeScope="" ma:versionID="8d5894b4d5d7f2555a4066a0b8a6e14c">
  <xsd:schema xmlns:xsd="http://www.w3.org/2001/XMLSchema" xmlns:xs="http://www.w3.org/2001/XMLSchema" xmlns:p="http://schemas.microsoft.com/office/2006/metadata/properties" xmlns:ns3="12785b64-6357-49ae-9409-49128930aaa6" xmlns:ns4="f13e6246-cd4f-4864-b192-e7c6c15d242f" targetNamespace="http://schemas.microsoft.com/office/2006/metadata/properties" ma:root="true" ma:fieldsID="6da19eece9460fd3baf9341b3156d241" ns3:_="" ns4:_="">
    <xsd:import namespace="12785b64-6357-49ae-9409-49128930aaa6"/>
    <xsd:import namespace="f13e6246-cd4f-4864-b192-e7c6c15d242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85b64-6357-49ae-9409-49128930aa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3e6246-cd4f-4864-b192-e7c6c15d24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E3276B-FC76-4BD0-9C87-DEA74ABDCCB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B4D861-1DA6-41ED-A855-DE4EB2987E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85b64-6357-49ae-9409-49128930aaa6"/>
    <ds:schemaRef ds:uri="f13e6246-cd4f-4864-b192-e7c6c15d24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ADC57DD-58DC-4C6F-84B4-41DBA40176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8</Pages>
  <Words>808</Words>
  <Characters>4611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1</vt:lpstr>
    </vt:vector>
  </TitlesOfParts>
  <Company>Ligo</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Richard Abbott</dc:creator>
  <cp:lastModifiedBy>Abbott, Richard</cp:lastModifiedBy>
  <cp:revision>83</cp:revision>
  <cp:lastPrinted>2021-02-26T05:05:00Z</cp:lastPrinted>
  <dcterms:created xsi:type="dcterms:W3CDTF">2021-02-25T21:37:00Z</dcterms:created>
  <dcterms:modified xsi:type="dcterms:W3CDTF">2021-02-26T05:07:00Z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0x010100D8B1A52EDBAF90458BAED06AD9B5835A</vt:lpwstr>
  </property>
</Properties>
</file>