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EF59" w14:textId="77777777" w:rsidR="005F48B2" w:rsidRDefault="005F48B2">
      <w:pPr>
        <w:pStyle w:val="PlainText"/>
        <w:jc w:val="center"/>
        <w:rPr>
          <w:i/>
          <w:sz w:val="36"/>
        </w:rPr>
      </w:pPr>
    </w:p>
    <w:p w14:paraId="50181202" w14:textId="77777777"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14:paraId="4677A70D" w14:textId="77777777" w:rsidR="005F48B2" w:rsidRDefault="005F48B2">
      <w:pPr>
        <w:pStyle w:val="PlainText"/>
        <w:jc w:val="center"/>
        <w:rPr>
          <w:sz w:val="36"/>
        </w:rPr>
      </w:pPr>
    </w:p>
    <w:p w14:paraId="77506CC5" w14:textId="77777777" w:rsidR="005F48B2" w:rsidRDefault="005F48B2">
      <w:pPr>
        <w:pStyle w:val="PlainText"/>
        <w:jc w:val="left"/>
        <w:rPr>
          <w:sz w:val="36"/>
        </w:rPr>
      </w:pPr>
    </w:p>
    <w:p w14:paraId="6369B39B" w14:textId="6D894193" w:rsidR="005F48B2" w:rsidRDefault="005F48B2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64123E" w:rsidRPr="0064123E">
        <w:t>T2100460-v1</w:t>
      </w:r>
      <w:r>
        <w:tab/>
      </w:r>
      <w:r w:rsidR="00755760" w:rsidRPr="005F1A77">
        <w:rPr>
          <w:rFonts w:ascii="Times" w:hAnsi="Times"/>
          <w:iCs/>
          <w:sz w:val="32"/>
          <w:szCs w:val="16"/>
        </w:rPr>
        <w:t>A</w:t>
      </w:r>
      <w:r w:rsidR="002E0EA4" w:rsidRPr="005F1A77">
        <w:rPr>
          <w:rFonts w:ascii="Times" w:hAnsi="Times"/>
          <w:iCs/>
          <w:sz w:val="32"/>
          <w:szCs w:val="16"/>
        </w:rPr>
        <w:t>dvanced L</w:t>
      </w:r>
      <w:r w:rsidRPr="005F1A77">
        <w:rPr>
          <w:rFonts w:ascii="Times" w:hAnsi="Times"/>
          <w:iCs/>
          <w:sz w:val="32"/>
          <w:szCs w:val="16"/>
        </w:rPr>
        <w:t>IGO</w:t>
      </w:r>
      <w:r>
        <w:tab/>
      </w:r>
      <w:r w:rsidR="0092227C">
        <w:t>1</w:t>
      </w:r>
      <w:r w:rsidR="005F1A77">
        <w:t>1</w:t>
      </w:r>
      <w:r w:rsidR="00E8245E">
        <w:t>/</w:t>
      </w:r>
      <w:r w:rsidR="0092227C">
        <w:t>5</w:t>
      </w:r>
      <w:r w:rsidR="00E8245E">
        <w:t>/20</w:t>
      </w:r>
      <w:r w:rsidR="009F4759">
        <w:t>2</w:t>
      </w:r>
      <w:r w:rsidR="0092227C">
        <w:t>1</w:t>
      </w:r>
    </w:p>
    <w:p w14:paraId="691C2CD4" w14:textId="77777777" w:rsidR="005F48B2" w:rsidRDefault="0066218A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 w14:anchorId="0101DDFD">
          <v:rect id="_x0000_i1025" style="width:0;height:1.5pt" o:hralign="center" o:hrstd="t" o:hr="t" fillcolor="gray" stroked="f"/>
        </w:pict>
      </w:r>
    </w:p>
    <w:p w14:paraId="0685160F" w14:textId="5A5EB766" w:rsidR="001348EC" w:rsidRDefault="001348EC" w:rsidP="001348E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Times" w:hAnsi="Times"/>
          <w:sz w:val="40"/>
        </w:rPr>
      </w:pPr>
      <w:r w:rsidRPr="001348EC">
        <w:rPr>
          <w:rFonts w:ascii="Times" w:hAnsi="Times"/>
          <w:sz w:val="40"/>
        </w:rPr>
        <w:t xml:space="preserve">A Biquad Implementation </w:t>
      </w:r>
      <w:r>
        <w:rPr>
          <w:rFonts w:ascii="Times" w:hAnsi="Times"/>
          <w:sz w:val="40"/>
        </w:rPr>
        <w:t>U</w:t>
      </w:r>
      <w:r w:rsidRPr="001348EC">
        <w:rPr>
          <w:rFonts w:ascii="Times" w:hAnsi="Times"/>
          <w:sz w:val="40"/>
        </w:rPr>
        <w:t>sing</w:t>
      </w:r>
    </w:p>
    <w:p w14:paraId="453489E8" w14:textId="79A693E8" w:rsidR="005F48B2" w:rsidRDefault="001348EC" w:rsidP="001348EC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 w:rsidRPr="001348EC">
        <w:rPr>
          <w:rFonts w:ascii="Times" w:hAnsi="Times"/>
          <w:sz w:val="40"/>
        </w:rPr>
        <w:t>Advanced Vector Extensions</w:t>
      </w:r>
      <w:r w:rsidR="0066218A">
        <w:pict w14:anchorId="3FADF2AD">
          <v:rect id="_x0000_i1026" style="width:0;height:1.5pt" o:hralign="center" o:hrstd="t" o:hr="t" fillcolor="gray" stroked="f"/>
        </w:pict>
      </w:r>
    </w:p>
    <w:p w14:paraId="0B9B6346" w14:textId="77777777" w:rsidR="005F48B2" w:rsidRDefault="00C329E2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Daniel Sigg</w:t>
      </w:r>
    </w:p>
    <w:p w14:paraId="633C2DAC" w14:textId="77777777" w:rsidR="005F48B2" w:rsidRDefault="005F48B2">
      <w:pPr>
        <w:pStyle w:val="PlainText"/>
        <w:spacing w:before="0"/>
        <w:jc w:val="center"/>
      </w:pPr>
    </w:p>
    <w:p w14:paraId="16B116FF" w14:textId="77777777" w:rsidR="005F48B2" w:rsidRDefault="005F48B2">
      <w:pPr>
        <w:pStyle w:val="PlainText"/>
        <w:spacing w:before="0"/>
        <w:jc w:val="center"/>
      </w:pPr>
      <w:r>
        <w:t>Distribution of this document:</w:t>
      </w:r>
    </w:p>
    <w:p w14:paraId="22CC039D" w14:textId="77777777"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14:paraId="07B362C0" w14:textId="77777777" w:rsidR="005F48B2" w:rsidRDefault="005F48B2">
      <w:pPr>
        <w:pStyle w:val="PlainText"/>
        <w:spacing w:before="0"/>
        <w:jc w:val="center"/>
      </w:pPr>
    </w:p>
    <w:p w14:paraId="07E00285" w14:textId="77777777" w:rsidR="005F48B2" w:rsidRDefault="005F48B2">
      <w:pPr>
        <w:pStyle w:val="PlainText"/>
        <w:spacing w:before="0"/>
        <w:jc w:val="center"/>
      </w:pPr>
      <w:r>
        <w:t>This is an internal working note</w:t>
      </w:r>
      <w:r w:rsidR="002B617D">
        <w:br/>
      </w:r>
      <w:r w:rsidR="00E66298">
        <w:t>of the LIGO Laboratory</w:t>
      </w:r>
      <w:r>
        <w:t>.</w:t>
      </w:r>
    </w:p>
    <w:p w14:paraId="37CD6695" w14:textId="77777777" w:rsidR="005F48B2" w:rsidRDefault="005F48B2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95"/>
        <w:gridCol w:w="4665"/>
      </w:tblGrid>
      <w:tr w:rsidR="005F48B2" w14:paraId="4F4C208E" w14:textId="77777777">
        <w:tc>
          <w:tcPr>
            <w:tcW w:w="4909" w:type="dxa"/>
          </w:tcPr>
          <w:p w14:paraId="5DE539CB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14:paraId="3DE70E84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14:paraId="6424BBC3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14:paraId="70441190" w14:textId="77777777" w:rsidR="005F48B2" w:rsidRP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14:paraId="7E62A676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14:paraId="29990577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14:paraId="6E735ECC" w14:textId="77777777" w:rsidR="005F48B2" w:rsidRPr="005F48B2" w:rsidRDefault="005F48B2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14:paraId="5B08BDA1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14:paraId="795FBDB3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14:paraId="68FD71AA" w14:textId="77777777" w:rsidR="005F48B2" w:rsidRDefault="00E66298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bCs/>
                    <w:color w:val="808080"/>
                  </w:rPr>
                  <w:t>18</w:t>
                </w:r>
                <w:r w:rsidR="005F48B2">
                  <w:rPr>
                    <w:b/>
                    <w:bCs/>
                    <w:color w:val="808080"/>
                  </w:rPr>
                  <w:t>5 Albany St</w:t>
                </w:r>
              </w:smartTag>
            </w:smartTag>
          </w:p>
          <w:p w14:paraId="5DFE677D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Cambridge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MA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02139</w:t>
                </w:r>
              </w:smartTag>
            </w:smartTag>
          </w:p>
          <w:p w14:paraId="03D5135C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14:paraId="205467F2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14:paraId="6124793E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5F48B2" w14:paraId="1BD8BE9E" w14:textId="77777777">
        <w:tc>
          <w:tcPr>
            <w:tcW w:w="4909" w:type="dxa"/>
          </w:tcPr>
          <w:p w14:paraId="3689CA0B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5F18D565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14:paraId="56BF75E2" w14:textId="77777777" w:rsidR="005F48B2" w:rsidRDefault="005F48B2" w:rsidP="00FB3DAE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r w:rsidR="00FB3DAE">
                <w:rPr>
                  <w:b/>
                  <w:bCs/>
                  <w:color w:val="808080"/>
                </w:rPr>
                <w:t>159</w:t>
              </w:r>
            </w:smartTag>
          </w:p>
          <w:p w14:paraId="0A1A320D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Richland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WA</w:t>
                </w:r>
              </w:smartTag>
              <w:r>
                <w:rPr>
                  <w:b/>
                  <w:bCs/>
                  <w:color w:val="808080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99352</w:t>
                </w:r>
              </w:smartTag>
            </w:smartTag>
          </w:p>
          <w:p w14:paraId="29FED31F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14:paraId="2FF62128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14:paraId="1062CDA8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14:paraId="39785C81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14:paraId="59819CB9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bCs/>
                    <w:color w:val="808080"/>
                  </w:rPr>
                  <w:t>P.O. Box</w:t>
                </w:r>
              </w:smartTag>
              <w:r>
                <w:rPr>
                  <w:b/>
                  <w:bCs/>
                  <w:color w:val="808080"/>
                </w:rPr>
                <w:t xml:space="preserve"> 940</w:t>
              </w:r>
            </w:smartTag>
          </w:p>
          <w:p w14:paraId="5C665992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Livingston</w:t>
                </w:r>
              </w:smartTag>
              <w:r>
                <w:rPr>
                  <w:b/>
                  <w:bCs/>
                  <w:color w:val="808080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color w:val="808080"/>
                  </w:rPr>
                  <w:t>LA</w:t>
                </w:r>
              </w:smartTag>
              <w:r>
                <w:rPr>
                  <w:b/>
                  <w:bCs/>
                  <w:color w:val="808080"/>
                </w:rPr>
                <w:t xml:space="preserve">  </w:t>
              </w:r>
              <w:smartTag w:uri="urn:schemas-microsoft-com:office:smarttags" w:element="PostalCode">
                <w:r>
                  <w:rPr>
                    <w:b/>
                    <w:bCs/>
                    <w:color w:val="808080"/>
                  </w:rPr>
                  <w:t>70754</w:t>
                </w:r>
              </w:smartTag>
            </w:smartTag>
          </w:p>
          <w:p w14:paraId="5D871340" w14:textId="77777777" w:rsidR="005F48B2" w:rsidRDefault="005F48B2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14:paraId="21FA5698" w14:textId="77777777"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14:paraId="65156C1E" w14:textId="77777777" w:rsidR="005F48B2" w:rsidRDefault="005F48B2">
      <w:pPr>
        <w:pStyle w:val="PlainText"/>
        <w:jc w:val="center"/>
      </w:pPr>
      <w:r>
        <w:t>http://www.ligo.caltech.edu/</w:t>
      </w:r>
    </w:p>
    <w:p w14:paraId="01E1A800" w14:textId="77777777" w:rsidR="00EB72E8" w:rsidRDefault="005F48B2" w:rsidP="001B1DE7">
      <w:pPr>
        <w:pStyle w:val="Heading1"/>
      </w:pPr>
      <w:bookmarkStart w:id="0" w:name="_Ref11845382"/>
      <w:r>
        <w:br w:type="page"/>
      </w:r>
      <w:bookmarkEnd w:id="0"/>
    </w:p>
    <w:p w14:paraId="1A68F29E" w14:textId="52F06598" w:rsidR="005F48B2" w:rsidRDefault="005F48B2" w:rsidP="001B1DE7">
      <w:pPr>
        <w:pStyle w:val="Heading1"/>
        <w:numPr>
          <w:ilvl w:val="0"/>
          <w:numId w:val="25"/>
        </w:numPr>
      </w:pPr>
      <w:bookmarkStart w:id="1" w:name="_Toc85989596"/>
      <w:r>
        <w:lastRenderedPageBreak/>
        <w:t>Introduction</w:t>
      </w:r>
      <w:bookmarkEnd w:id="1"/>
    </w:p>
    <w:p w14:paraId="6B7666A9" w14:textId="44626F3C" w:rsidR="00DA12F4" w:rsidRDefault="00DA12F4" w:rsidP="00DA12F4">
      <w:r>
        <w:t xml:space="preserve">Intel based CPU have implemented </w:t>
      </w:r>
      <w:r w:rsidR="000E50CD">
        <w:t>a</w:t>
      </w:r>
      <w:r w:rsidRPr="00DA12F4">
        <w:t xml:space="preserve">dvanced </w:t>
      </w:r>
      <w:r w:rsidR="000E50CD">
        <w:t>v</w:t>
      </w:r>
      <w:r w:rsidRPr="00DA12F4">
        <w:t xml:space="preserve">ector </w:t>
      </w:r>
      <w:r w:rsidR="000E50CD">
        <w:t>e</w:t>
      </w:r>
      <w:r w:rsidRPr="00DA12F4">
        <w:t>xtensions</w:t>
      </w:r>
      <w:r>
        <w:t xml:space="preserve"> since a while. We look at AVX2 and AVX-512</w:t>
      </w:r>
      <w:r w:rsidR="00217475">
        <w:rPr>
          <w:rStyle w:val="FootnoteReference"/>
        </w:rPr>
        <w:footnoteReference w:id="1"/>
      </w:r>
      <w:r>
        <w:t>, AVX2 has become common, whereas AVX-512F is newer and less widely available. Our newest set of front-end computers base</w:t>
      </w:r>
      <w:r w:rsidR="003B7D6F">
        <w:t>d</w:t>
      </w:r>
      <w:r>
        <w:t xml:space="preserve"> on Cascade Lake processors, like the </w:t>
      </w:r>
      <w:r w:rsidRPr="00DA12F4">
        <w:t>Intel® Xeon® W-2245 Processor</w:t>
      </w:r>
      <w:r>
        <w:t>, support both.</w:t>
      </w:r>
    </w:p>
    <w:p w14:paraId="0D1FBBC1" w14:textId="7FE3ECBF" w:rsidR="00DA12F4" w:rsidRDefault="000E50CD" w:rsidP="00DA12F4">
      <w:r>
        <w:t>Advanced vector extensions allow to process multiple floating-point operations in parallel: 4 in case of AVX2 and 8 in case of AVX-512F. These operations also use a separate CPU register file. There are 16 registers for AVX2 and 32 for AVX-512.</w:t>
      </w:r>
    </w:p>
    <w:p w14:paraId="65FE663A" w14:textId="0D6686DE" w:rsidR="000E50CD" w:rsidRPr="007952F2" w:rsidRDefault="000E50CD" w:rsidP="00DA12F4">
      <w:r>
        <w:t xml:space="preserve">A single IIR filter and its implementation as a cascaded set of biquad sections cannot easily be parallelized. Instead, we investigate how to </w:t>
      </w:r>
      <w:r w:rsidR="007952F2">
        <w:t>implement</w:t>
      </w:r>
      <w:r>
        <w:t xml:space="preserve"> multiple IIR filters </w:t>
      </w:r>
      <w:r w:rsidR="007952F2">
        <w:t>in parallel consisting of a fixed set of 3 biquad sections. The main use case for this parallelization would be the decimation filters that reduce the data rate from a fast ADC running 2</w:t>
      </w:r>
      <w:r w:rsidR="007952F2">
        <w:rPr>
          <w:vertAlign w:val="superscript"/>
        </w:rPr>
        <w:t>19</w:t>
      </w:r>
      <w:r w:rsidR="007952F2">
        <w:t xml:space="preserve"> Hz. </w:t>
      </w:r>
    </w:p>
    <w:p w14:paraId="3ADD22E2" w14:textId="0490FE17" w:rsidR="00FB56C2" w:rsidRDefault="007952F2" w:rsidP="00A26918">
      <w:pPr>
        <w:pStyle w:val="Heading1"/>
      </w:pPr>
      <w:r>
        <w:t>Thermal Throttling</w:t>
      </w:r>
    </w:p>
    <w:p w14:paraId="49707246" w14:textId="2FCB8225" w:rsidR="002857FC" w:rsidRDefault="002857FC" w:rsidP="002857FC">
      <w:r>
        <w:t xml:space="preserve">Vector extensions produce a lot of heat and potentially lead to thermal throttling of the CPU.  </w:t>
      </w:r>
      <w:r>
        <w:fldChar w:fldCharType="begin"/>
      </w:r>
      <w:r>
        <w:instrText xml:space="preserve"> REF _Ref86927991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shows the potential impact on CPU clock for a CPU that is from the same family as the W-2245 with the same core count and similar frequencies</w:t>
      </w:r>
      <w:r w:rsidR="00677648">
        <w:t xml:space="preserve"> (</w:t>
      </w:r>
      <w:r w:rsidR="00677648" w:rsidRPr="00677648">
        <w:t xml:space="preserve">3.9 </w:t>
      </w:r>
      <w:r w:rsidR="00677648">
        <w:t>vs 3.6 GHz)</w:t>
      </w:r>
      <w:r>
        <w:t>.</w:t>
      </w:r>
      <w:r w:rsidR="00677648">
        <w:t xml:space="preserve"> For reference see </w:t>
      </w:r>
      <w:hyperlink r:id="rId8" w:history="1">
        <w:r w:rsidR="00677648" w:rsidRPr="00677648">
          <w:rPr>
            <w:rStyle w:val="Hyperlink"/>
          </w:rPr>
          <w:t>en.wikichip.org</w:t>
        </w:r>
      </w:hyperlink>
      <w:r w:rsidR="00217475">
        <w:rPr>
          <w:rStyle w:val="FootnoteReference"/>
        </w:rPr>
        <w:footnoteReference w:id="2"/>
      </w:r>
      <w:r w:rsidR="00217475">
        <w:t>, and online articles</w:t>
      </w:r>
      <w:r w:rsidR="00217475">
        <w:rPr>
          <w:rStyle w:val="FootnoteReference"/>
        </w:rPr>
        <w:footnoteReference w:id="3"/>
      </w:r>
      <w:r w:rsidR="00217475">
        <w:rPr>
          <w:vertAlign w:val="superscript"/>
        </w:rPr>
        <w:t>,</w:t>
      </w:r>
      <w:r w:rsidR="00217475">
        <w:rPr>
          <w:rStyle w:val="FootnoteReference"/>
        </w:rPr>
        <w:footnoteReference w:id="4"/>
      </w:r>
      <w:r w:rsidR="00217475">
        <w:t>.</w:t>
      </w:r>
    </w:p>
    <w:p w14:paraId="152BC8F8" w14:textId="73EC58D1" w:rsidR="00677648" w:rsidRPr="002857FC" w:rsidRDefault="00677648" w:rsidP="002857FC">
      <w:r>
        <w:t xml:space="preserve">For our front-end computers we disable turbo mode in the BIOS, so they never run faster than their normal base frequency of 3.9 GHz. </w:t>
      </w:r>
      <w:r w:rsidR="00B17718">
        <w:t xml:space="preserve">From the table below, we can conclude that it is unlikely that thermal throttling will be an issue for AVX2 </w:t>
      </w:r>
      <w:r w:rsidR="00217475">
        <w:t xml:space="preserve">and maybe effect performance if AVX-512 is run on all cores. In our targeted use case, these operations would only run on the IOP and hence one core. So, </w:t>
      </w:r>
      <w:r w:rsidR="00217475" w:rsidRPr="002D6758">
        <w:rPr>
          <w:b/>
          <w:bCs/>
        </w:rPr>
        <w:t>we don’t envision any issues due to thermal throttling.</w:t>
      </w:r>
    </w:p>
    <w:p w14:paraId="5241B471" w14:textId="77777777" w:rsidR="003E260E" w:rsidRDefault="007952F2" w:rsidP="002D6758">
      <w:pPr>
        <w:keepNext/>
        <w:spacing w:before="360"/>
      </w:pPr>
      <w:r>
        <w:rPr>
          <w:noProof/>
        </w:rPr>
        <w:drawing>
          <wp:inline distT="0" distB="0" distL="0" distR="0" wp14:anchorId="3D2F3277" wp14:editId="4681C740">
            <wp:extent cx="5943600" cy="1326515"/>
            <wp:effectExtent l="0" t="0" r="0" b="6985"/>
            <wp:docPr id="1" name="Picture 1" descr="Thermal Thrott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rmal Throttl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F3208" w14:textId="0A6FB412" w:rsidR="007952F2" w:rsidRDefault="003E260E" w:rsidP="003E260E">
      <w:pPr>
        <w:pStyle w:val="Caption"/>
      </w:pPr>
      <w:bookmarkStart w:id="2" w:name="_Ref86927991"/>
      <w:r>
        <w:t xml:space="preserve">Figure </w:t>
      </w:r>
      <w:r w:rsidR="0066218A">
        <w:fldChar w:fldCharType="begin"/>
      </w:r>
      <w:r w:rsidR="0066218A">
        <w:instrText xml:space="preserve"> SEQ Figure \* ARABIC </w:instrText>
      </w:r>
      <w:r w:rsidR="0066218A">
        <w:fldChar w:fldCharType="separate"/>
      </w:r>
      <w:r>
        <w:rPr>
          <w:noProof/>
        </w:rPr>
        <w:t>1</w:t>
      </w:r>
      <w:r w:rsidR="0066218A">
        <w:rPr>
          <w:noProof/>
        </w:rPr>
        <w:fldChar w:fldCharType="end"/>
      </w:r>
      <w:bookmarkEnd w:id="2"/>
      <w:r>
        <w:t>: Thermal Throttling on a Xeon Gold 6244 CPU</w:t>
      </w:r>
      <w:r w:rsidR="002857FC">
        <w:t xml:space="preserve"> 3.6GHz with 4.4GHz turbo</w:t>
      </w:r>
      <w:r>
        <w:t>.</w:t>
      </w:r>
    </w:p>
    <w:p w14:paraId="490FC31B" w14:textId="77777777" w:rsidR="007952F2" w:rsidRPr="007952F2" w:rsidRDefault="007952F2" w:rsidP="007952F2"/>
    <w:p w14:paraId="3EE8406F" w14:textId="2E2C355D" w:rsidR="00A26918" w:rsidRDefault="00CC6963" w:rsidP="00A26918">
      <w:pPr>
        <w:pStyle w:val="Heading2"/>
      </w:pPr>
      <w:r>
        <w:lastRenderedPageBreak/>
        <w:t>Implementation</w:t>
      </w:r>
    </w:p>
    <w:p w14:paraId="21164B3D" w14:textId="2DA2FCF8" w:rsidR="00CC6963" w:rsidRDefault="00CC6963" w:rsidP="004A3A02">
      <w:r>
        <w:t xml:space="preserve">We use the LIGO biquad implementation as a starting point. See the zip file in </w:t>
      </w:r>
      <w:hyperlink r:id="rId10" w:history="1">
        <w:r w:rsidRPr="00CC6963">
          <w:rPr>
            <w:rStyle w:val="Hyperlink"/>
          </w:rPr>
          <w:t>T2100460</w:t>
        </w:r>
      </w:hyperlink>
      <w:r>
        <w:t xml:space="preserve"> for the C/C++ code that was used.</w:t>
      </w:r>
      <w:r w:rsidR="00F74495">
        <w:t xml:space="preserve"> We first slightly rewrite it by using </w:t>
      </w:r>
      <w:r w:rsidR="00F74495" w:rsidRPr="00F74495">
        <w:t>array indices instead of pointer arithmetic</w:t>
      </w:r>
      <w:r w:rsidR="00F74495">
        <w:t xml:space="preserve">. Next, we then implement both AVX2 and AVX-512 versions. The filter coefficients don’t need to be identical, but the number of sections needs to be the same. Finally, we write versions that use identical coefficients and exactly 3 sections, implement decimation and work on longer strides of data. The later versions are targeted </w:t>
      </w:r>
      <w:proofErr w:type="gramStart"/>
      <w:r w:rsidR="00F74495">
        <w:t>a</w:t>
      </w:r>
      <w:proofErr w:type="gramEnd"/>
      <w:r w:rsidR="00F74495">
        <w:t xml:space="preserve"> ADC data that is arranged in vectors of fixed length corresponding to the number of ADC channels and is stacked up 8 samples deep that need to be filtered and decimated. </w:t>
      </w:r>
    </w:p>
    <w:p w14:paraId="1BCCCDD4" w14:textId="7B89F070" w:rsidR="00CC6963" w:rsidRDefault="00CC6963" w:rsidP="004A3A02">
      <w:pPr>
        <w:pStyle w:val="Caption"/>
        <w:keepNext/>
        <w:spacing w:before="240"/>
      </w:pPr>
      <w:r>
        <w:t xml:space="preserve">Table </w:t>
      </w:r>
      <w:r w:rsidR="0066218A">
        <w:fldChar w:fldCharType="begin"/>
      </w:r>
      <w:r w:rsidR="0066218A">
        <w:instrText xml:space="preserve"> SEQ Table \* ARABIC </w:instrText>
      </w:r>
      <w:r w:rsidR="0066218A">
        <w:fldChar w:fldCharType="separate"/>
      </w:r>
      <w:r>
        <w:rPr>
          <w:noProof/>
        </w:rPr>
        <w:t>1</w:t>
      </w:r>
      <w:r w:rsidR="0066218A">
        <w:rPr>
          <w:noProof/>
        </w:rPr>
        <w:fldChar w:fldCharType="end"/>
      </w:r>
      <w:r>
        <w:t>: Tested Biquad Implementations</w:t>
      </w:r>
      <w:r>
        <w:rPr>
          <w:noProof/>
        </w:rPr>
        <w:t>.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775"/>
        <w:gridCol w:w="5575"/>
      </w:tblGrid>
      <w:tr w:rsidR="00CC6963" w14:paraId="068DC324" w14:textId="77777777" w:rsidTr="00CC6963">
        <w:tc>
          <w:tcPr>
            <w:tcW w:w="3775" w:type="dxa"/>
          </w:tcPr>
          <w:p w14:paraId="6D26AF0F" w14:textId="0B8A6DDD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proofErr w:type="spellStart"/>
            <w:r w:rsidRPr="00CC6963">
              <w:rPr>
                <w:bCs/>
              </w:rPr>
              <w:t>iir_filter_biquad</w:t>
            </w:r>
            <w:proofErr w:type="spellEnd"/>
          </w:p>
        </w:tc>
        <w:tc>
          <w:tcPr>
            <w:tcW w:w="5575" w:type="dxa"/>
          </w:tcPr>
          <w:p w14:paraId="0016D248" w14:textId="517308C4" w:rsidR="00CC6963" w:rsidRPr="00081A2A" w:rsidRDefault="006A6682" w:rsidP="00CC6963">
            <w:pPr>
              <w:spacing w:before="0"/>
              <w:rPr>
                <w:bCs/>
              </w:rPr>
            </w:pPr>
            <w:r w:rsidRPr="00081A2A">
              <w:rPr>
                <w:bCs/>
              </w:rPr>
              <w:t xml:space="preserve">Copied from </w:t>
            </w:r>
            <w:r w:rsidR="0044328B">
              <w:rPr>
                <w:bCs/>
              </w:rPr>
              <w:t>fm10Gen.c</w:t>
            </w:r>
            <w:r w:rsidR="00F74495">
              <w:rPr>
                <w:bCs/>
              </w:rPr>
              <w:t>.</w:t>
            </w:r>
          </w:p>
        </w:tc>
      </w:tr>
      <w:tr w:rsidR="00CC6963" w14:paraId="1997C608" w14:textId="77777777" w:rsidTr="00CC6963">
        <w:tc>
          <w:tcPr>
            <w:tcW w:w="3775" w:type="dxa"/>
          </w:tcPr>
          <w:p w14:paraId="0783EB4A" w14:textId="3C1371DA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</w:t>
            </w:r>
          </w:p>
        </w:tc>
        <w:tc>
          <w:tcPr>
            <w:tcW w:w="5575" w:type="dxa"/>
          </w:tcPr>
          <w:p w14:paraId="6AE62148" w14:textId="1F21096B" w:rsidR="00CC6963" w:rsidRPr="00081A2A" w:rsidRDefault="0044328B" w:rsidP="00CC6963">
            <w:pPr>
              <w:spacing w:before="0"/>
              <w:rPr>
                <w:bCs/>
              </w:rPr>
            </w:pPr>
            <w:r>
              <w:rPr>
                <w:bCs/>
              </w:rPr>
              <w:t xml:space="preserve">Same as above but using array indices instead </w:t>
            </w:r>
            <w:r w:rsidR="00F74495">
              <w:rPr>
                <w:bCs/>
              </w:rPr>
              <w:t xml:space="preserve">of </w:t>
            </w:r>
            <w:r>
              <w:rPr>
                <w:bCs/>
              </w:rPr>
              <w:t xml:space="preserve">pointer </w:t>
            </w:r>
            <w:r w:rsidR="00C27FE7">
              <w:rPr>
                <w:bCs/>
              </w:rPr>
              <w:t>arithmetic.</w:t>
            </w:r>
          </w:p>
        </w:tc>
      </w:tr>
      <w:tr w:rsidR="00CC6963" w14:paraId="3128AA1C" w14:textId="77777777" w:rsidTr="00CC6963">
        <w:tc>
          <w:tcPr>
            <w:tcW w:w="3775" w:type="dxa"/>
          </w:tcPr>
          <w:p w14:paraId="6E94E085" w14:textId="6CD7E448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biquadAVX2</w:t>
            </w:r>
          </w:p>
        </w:tc>
        <w:tc>
          <w:tcPr>
            <w:tcW w:w="5575" w:type="dxa"/>
          </w:tcPr>
          <w:p w14:paraId="60763052" w14:textId="750553A4" w:rsidR="00CC6963" w:rsidRPr="00081A2A" w:rsidRDefault="0044328B" w:rsidP="00CC6963">
            <w:pPr>
              <w:spacing w:before="0"/>
              <w:rPr>
                <w:bCs/>
              </w:rPr>
            </w:pPr>
            <w:r>
              <w:rPr>
                <w:bCs/>
              </w:rPr>
              <w:t>AVX2 implementation of biquad, working on 4 input samples in parallel</w:t>
            </w:r>
            <w:r w:rsidR="00C27FE7">
              <w:rPr>
                <w:bCs/>
              </w:rPr>
              <w:t>.</w:t>
            </w:r>
          </w:p>
        </w:tc>
      </w:tr>
      <w:tr w:rsidR="00CC6963" w14:paraId="166EE294" w14:textId="77777777" w:rsidTr="00CC6963">
        <w:tc>
          <w:tcPr>
            <w:tcW w:w="3775" w:type="dxa"/>
          </w:tcPr>
          <w:p w14:paraId="0012B25E" w14:textId="7724BD89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biquadAVX2double</w:t>
            </w:r>
          </w:p>
        </w:tc>
        <w:tc>
          <w:tcPr>
            <w:tcW w:w="5575" w:type="dxa"/>
          </w:tcPr>
          <w:p w14:paraId="68516A7B" w14:textId="6A6D0FD5" w:rsidR="00CC6963" w:rsidRPr="00081A2A" w:rsidRDefault="001C0B2E" w:rsidP="00CC6963">
            <w:pPr>
              <w:spacing w:before="0"/>
              <w:rPr>
                <w:bCs/>
              </w:rPr>
            </w:pPr>
            <w:r w:rsidRPr="001C0B2E">
              <w:rPr>
                <w:bCs/>
              </w:rPr>
              <w:t xml:space="preserve">AVX2 implementation of biquad, working on </w:t>
            </w:r>
            <w:r>
              <w:rPr>
                <w:bCs/>
              </w:rPr>
              <w:t>8</w:t>
            </w:r>
            <w:r w:rsidRPr="001C0B2E">
              <w:rPr>
                <w:bCs/>
              </w:rPr>
              <w:t xml:space="preserve"> input samples in parallel</w:t>
            </w:r>
            <w:r w:rsidR="00A16E45">
              <w:rPr>
                <w:bCs/>
              </w:rPr>
              <w:t xml:space="preserve">, this function uses the same parameters as </w:t>
            </w:r>
            <w:r w:rsidR="00A16E45" w:rsidRPr="00A16E45">
              <w:rPr>
                <w:bCs/>
              </w:rPr>
              <w:t>biquadAVX512</w:t>
            </w:r>
            <w:r w:rsidR="00A16E45">
              <w:rPr>
                <w:bCs/>
              </w:rPr>
              <w:t xml:space="preserve"> and can be interchanged</w:t>
            </w:r>
            <w:r w:rsidR="00C27FE7">
              <w:rPr>
                <w:bCs/>
              </w:rPr>
              <w:t>.</w:t>
            </w:r>
          </w:p>
        </w:tc>
      </w:tr>
      <w:tr w:rsidR="00CC6963" w14:paraId="11C1B969" w14:textId="77777777" w:rsidTr="00CC6963">
        <w:tc>
          <w:tcPr>
            <w:tcW w:w="3775" w:type="dxa"/>
          </w:tcPr>
          <w:p w14:paraId="36F70C7A" w14:textId="35BF392C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biquadAVX512</w:t>
            </w:r>
          </w:p>
        </w:tc>
        <w:tc>
          <w:tcPr>
            <w:tcW w:w="5575" w:type="dxa"/>
          </w:tcPr>
          <w:p w14:paraId="3EA66D73" w14:textId="3AAEF065" w:rsidR="00CC6963" w:rsidRPr="00081A2A" w:rsidRDefault="001C0B2E" w:rsidP="00CC6963">
            <w:pPr>
              <w:spacing w:before="0"/>
              <w:rPr>
                <w:bCs/>
              </w:rPr>
            </w:pPr>
            <w:r w:rsidRPr="001C0B2E">
              <w:rPr>
                <w:bCs/>
              </w:rPr>
              <w:t>AVX</w:t>
            </w:r>
            <w:r>
              <w:rPr>
                <w:bCs/>
              </w:rPr>
              <w:t>512</w:t>
            </w:r>
            <w:r w:rsidRPr="001C0B2E">
              <w:rPr>
                <w:bCs/>
              </w:rPr>
              <w:t xml:space="preserve"> implementation of biquad, working on </w:t>
            </w:r>
            <w:r>
              <w:rPr>
                <w:bCs/>
              </w:rPr>
              <w:t>8</w:t>
            </w:r>
            <w:r w:rsidRPr="001C0B2E">
              <w:rPr>
                <w:bCs/>
              </w:rPr>
              <w:t xml:space="preserve"> input samples in parallel</w:t>
            </w:r>
          </w:p>
        </w:tc>
      </w:tr>
      <w:tr w:rsidR="00CC6963" w14:paraId="2E8831E3" w14:textId="77777777" w:rsidTr="00CC6963">
        <w:tc>
          <w:tcPr>
            <w:tcW w:w="3775" w:type="dxa"/>
          </w:tcPr>
          <w:p w14:paraId="4FF2A272" w14:textId="1AC7D669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biquad_stride1</w:t>
            </w:r>
          </w:p>
        </w:tc>
        <w:tc>
          <w:tcPr>
            <w:tcW w:w="5575" w:type="dxa"/>
          </w:tcPr>
          <w:p w14:paraId="2A4EDD30" w14:textId="3946C446" w:rsidR="00CC6963" w:rsidRPr="00081A2A" w:rsidRDefault="00C27FE7" w:rsidP="00CC6963">
            <w:pPr>
              <w:spacing w:before="0"/>
              <w:rPr>
                <w:bCs/>
              </w:rPr>
            </w:pPr>
            <w:r>
              <w:rPr>
                <w:bCs/>
              </w:rPr>
              <w:t xml:space="preserve">Biquad implementation that works on a </w:t>
            </w:r>
            <w:r w:rsidR="005A30E0">
              <w:rPr>
                <w:bCs/>
              </w:rPr>
              <w:t>longer stride of data</w:t>
            </w:r>
            <w:r>
              <w:rPr>
                <w:bCs/>
              </w:rPr>
              <w:t xml:space="preserve"> and includes a decimation. All filter coefficients are identical.</w:t>
            </w:r>
          </w:p>
        </w:tc>
      </w:tr>
      <w:tr w:rsidR="00CC6963" w14:paraId="215F8BEB" w14:textId="77777777" w:rsidTr="00CC6963">
        <w:tc>
          <w:tcPr>
            <w:tcW w:w="3775" w:type="dxa"/>
          </w:tcPr>
          <w:p w14:paraId="39EE94D3" w14:textId="6559527A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biquad_stride2</w:t>
            </w:r>
          </w:p>
        </w:tc>
        <w:tc>
          <w:tcPr>
            <w:tcW w:w="5575" w:type="dxa"/>
          </w:tcPr>
          <w:p w14:paraId="10D047CF" w14:textId="6609EE05" w:rsidR="00CC6963" w:rsidRPr="00081A2A" w:rsidRDefault="00C27FE7" w:rsidP="00CC6963">
            <w:pPr>
              <w:spacing w:before="0"/>
              <w:rPr>
                <w:bCs/>
              </w:rPr>
            </w:pPr>
            <w:r>
              <w:rPr>
                <w:bCs/>
              </w:rPr>
              <w:t xml:space="preserve">Poor man’s way to parallelize the above </w:t>
            </w:r>
            <w:r w:rsidRPr="00C27FE7">
              <w:rPr>
                <w:bCs/>
              </w:rPr>
              <w:t>biquad_stride1</w:t>
            </w:r>
            <w:r>
              <w:rPr>
                <w:bCs/>
              </w:rPr>
              <w:t xml:space="preserve"> working on </w:t>
            </w:r>
            <w:r w:rsidR="005A30E0">
              <w:rPr>
                <w:bCs/>
              </w:rPr>
              <w:t>2</w:t>
            </w:r>
            <w:r>
              <w:rPr>
                <w:bCs/>
              </w:rPr>
              <w:t xml:space="preserve"> samples intermixed.</w:t>
            </w:r>
          </w:p>
        </w:tc>
      </w:tr>
      <w:tr w:rsidR="00CC6963" w14:paraId="2A4B6C49" w14:textId="77777777" w:rsidTr="00CC6963">
        <w:tc>
          <w:tcPr>
            <w:tcW w:w="3775" w:type="dxa"/>
          </w:tcPr>
          <w:p w14:paraId="6987874B" w14:textId="7F04BC8F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</w:t>
            </w:r>
            <w:r>
              <w:rPr>
                <w:bCs/>
              </w:rPr>
              <w:t>4</w:t>
            </w:r>
          </w:p>
        </w:tc>
        <w:tc>
          <w:tcPr>
            <w:tcW w:w="5575" w:type="dxa"/>
          </w:tcPr>
          <w:p w14:paraId="0F5E28AF" w14:textId="44CD586C" w:rsidR="00CC6963" w:rsidRPr="00081A2A" w:rsidRDefault="00C27FE7" w:rsidP="00CC6963">
            <w:pPr>
              <w:spacing w:before="0"/>
              <w:rPr>
                <w:bCs/>
              </w:rPr>
            </w:pPr>
            <w:r>
              <w:rPr>
                <w:bCs/>
              </w:rPr>
              <w:t>Working on 4 samples intermixed.</w:t>
            </w:r>
          </w:p>
        </w:tc>
      </w:tr>
      <w:tr w:rsidR="00CC6963" w14:paraId="4425CD0E" w14:textId="77777777" w:rsidTr="00CC6963">
        <w:tc>
          <w:tcPr>
            <w:tcW w:w="3775" w:type="dxa"/>
          </w:tcPr>
          <w:p w14:paraId="342128FD" w14:textId="64887DC0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biquad_avx2_stride4_section3</w:t>
            </w:r>
          </w:p>
        </w:tc>
        <w:tc>
          <w:tcPr>
            <w:tcW w:w="5575" w:type="dxa"/>
          </w:tcPr>
          <w:p w14:paraId="772E3EA2" w14:textId="04494D18" w:rsidR="00CC6963" w:rsidRPr="00081A2A" w:rsidRDefault="005A30E0" w:rsidP="00CC6963">
            <w:pPr>
              <w:spacing w:before="0"/>
              <w:rPr>
                <w:bCs/>
              </w:rPr>
            </w:pPr>
            <w:r>
              <w:rPr>
                <w:bCs/>
              </w:rPr>
              <w:t xml:space="preserve">AVX implementation of </w:t>
            </w:r>
            <w:r w:rsidRPr="005A30E0">
              <w:rPr>
                <w:bCs/>
              </w:rPr>
              <w:t>biquad_stride1</w:t>
            </w:r>
            <w:r>
              <w:rPr>
                <w:bCs/>
              </w:rPr>
              <w:t>, working on 4 samples in parallel.</w:t>
            </w:r>
          </w:p>
        </w:tc>
      </w:tr>
      <w:tr w:rsidR="00CC6963" w14:paraId="07A2BE1F" w14:textId="77777777" w:rsidTr="00CC6963">
        <w:tc>
          <w:tcPr>
            <w:tcW w:w="3775" w:type="dxa"/>
          </w:tcPr>
          <w:p w14:paraId="4BED96EA" w14:textId="1D3C9323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biquad_avx2_stride8_section3</w:t>
            </w:r>
          </w:p>
        </w:tc>
        <w:tc>
          <w:tcPr>
            <w:tcW w:w="5575" w:type="dxa"/>
          </w:tcPr>
          <w:p w14:paraId="74C36912" w14:textId="33FB6CCB" w:rsidR="00CC6963" w:rsidRPr="00081A2A" w:rsidRDefault="005A30E0" w:rsidP="00CC6963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 xml:space="preserve">Poor man’s way </w:t>
            </w:r>
            <w:r>
              <w:rPr>
                <w:bCs/>
              </w:rPr>
              <w:t>of</w:t>
            </w:r>
            <w:r w:rsidRPr="005A30E0">
              <w:rPr>
                <w:bCs/>
              </w:rPr>
              <w:t xml:space="preserve"> paralleliz</w:t>
            </w:r>
            <w:r>
              <w:rPr>
                <w:bCs/>
              </w:rPr>
              <w:t xml:space="preserve">ation, </w:t>
            </w:r>
            <w:r w:rsidRPr="005A30E0">
              <w:rPr>
                <w:bCs/>
              </w:rPr>
              <w:t xml:space="preserve">working on </w:t>
            </w:r>
            <w:r>
              <w:rPr>
                <w:bCs/>
              </w:rPr>
              <w:t>2</w:t>
            </w:r>
            <w:r w:rsidRPr="005A30E0">
              <w:rPr>
                <w:bCs/>
              </w:rPr>
              <w:t xml:space="preserve"> </w:t>
            </w:r>
            <w:r>
              <w:rPr>
                <w:bCs/>
              </w:rPr>
              <w:t>vectors</w:t>
            </w:r>
            <w:r w:rsidRPr="005A30E0">
              <w:rPr>
                <w:bCs/>
              </w:rPr>
              <w:t xml:space="preserve"> intermixed.</w:t>
            </w:r>
          </w:p>
        </w:tc>
      </w:tr>
      <w:tr w:rsidR="00CC6963" w14:paraId="34B4AD6C" w14:textId="77777777" w:rsidTr="00CC6963">
        <w:tc>
          <w:tcPr>
            <w:tcW w:w="3775" w:type="dxa"/>
          </w:tcPr>
          <w:p w14:paraId="74D526DA" w14:textId="09CD4BC0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biquad_avx2_stride16_section3</w:t>
            </w:r>
          </w:p>
        </w:tc>
        <w:tc>
          <w:tcPr>
            <w:tcW w:w="5575" w:type="dxa"/>
          </w:tcPr>
          <w:p w14:paraId="30407AD3" w14:textId="5F1CA408" w:rsidR="00CC6963" w:rsidRPr="00081A2A" w:rsidRDefault="005A30E0" w:rsidP="00CC6963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 xml:space="preserve">Working on 4 </w:t>
            </w:r>
            <w:r>
              <w:rPr>
                <w:bCs/>
              </w:rPr>
              <w:t>vectors</w:t>
            </w:r>
            <w:r w:rsidRPr="005A30E0">
              <w:rPr>
                <w:bCs/>
              </w:rPr>
              <w:t xml:space="preserve"> intermixed.</w:t>
            </w:r>
          </w:p>
        </w:tc>
      </w:tr>
      <w:tr w:rsidR="00CC6963" w14:paraId="52168BF4" w14:textId="77777777" w:rsidTr="00CC6963">
        <w:tc>
          <w:tcPr>
            <w:tcW w:w="3775" w:type="dxa"/>
          </w:tcPr>
          <w:p w14:paraId="6A181163" w14:textId="3125F680" w:rsidR="00CC6963" w:rsidRPr="00CC6963" w:rsidRDefault="00CC6963" w:rsidP="00CC6963">
            <w:pPr>
              <w:tabs>
                <w:tab w:val="left" w:pos="2310"/>
              </w:tabs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biquad_avx2_stride32_section3</w:t>
            </w:r>
          </w:p>
        </w:tc>
        <w:tc>
          <w:tcPr>
            <w:tcW w:w="5575" w:type="dxa"/>
          </w:tcPr>
          <w:p w14:paraId="385FE665" w14:textId="6503BD80" w:rsidR="00CC6963" w:rsidRPr="00081A2A" w:rsidRDefault="005A30E0" w:rsidP="00CC6963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 xml:space="preserve">Working on </w:t>
            </w:r>
            <w:r>
              <w:rPr>
                <w:bCs/>
              </w:rPr>
              <w:t>8</w:t>
            </w:r>
            <w:r w:rsidRPr="005A30E0">
              <w:rPr>
                <w:bCs/>
              </w:rPr>
              <w:t xml:space="preserve"> vectors intermixed.</w:t>
            </w:r>
          </w:p>
        </w:tc>
      </w:tr>
      <w:tr w:rsidR="00CC6963" w14:paraId="79FD0C21" w14:textId="77777777" w:rsidTr="00CC6963">
        <w:tc>
          <w:tcPr>
            <w:tcW w:w="3775" w:type="dxa"/>
          </w:tcPr>
          <w:p w14:paraId="599A241C" w14:textId="5092F74C" w:rsidR="00CC6963" w:rsidRPr="00CC6963" w:rsidRDefault="00CC6963" w:rsidP="00CC6963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biquad_avx512_stride8_section3</w:t>
            </w:r>
          </w:p>
        </w:tc>
        <w:tc>
          <w:tcPr>
            <w:tcW w:w="5575" w:type="dxa"/>
          </w:tcPr>
          <w:p w14:paraId="09681BBE" w14:textId="3CB29B8A" w:rsidR="00CC6963" w:rsidRPr="00081A2A" w:rsidRDefault="005A30E0" w:rsidP="00CC6963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>AVX</w:t>
            </w:r>
            <w:r>
              <w:rPr>
                <w:bCs/>
              </w:rPr>
              <w:t>-512</w:t>
            </w:r>
            <w:r w:rsidRPr="005A30E0">
              <w:rPr>
                <w:bCs/>
              </w:rPr>
              <w:t xml:space="preserve"> implementation of biquad_stride1, working on </w:t>
            </w:r>
            <w:r>
              <w:rPr>
                <w:bCs/>
              </w:rPr>
              <w:t>8</w:t>
            </w:r>
            <w:r w:rsidRPr="005A30E0">
              <w:rPr>
                <w:bCs/>
              </w:rPr>
              <w:t xml:space="preserve"> samples in parallel.</w:t>
            </w:r>
          </w:p>
        </w:tc>
      </w:tr>
      <w:tr w:rsidR="005A30E0" w14:paraId="3D3739A1" w14:textId="77777777" w:rsidTr="00CC6963">
        <w:tc>
          <w:tcPr>
            <w:tcW w:w="3775" w:type="dxa"/>
          </w:tcPr>
          <w:p w14:paraId="0347B231" w14:textId="6C1F4850" w:rsidR="005A30E0" w:rsidRPr="00CC6963" w:rsidRDefault="005A30E0" w:rsidP="005A30E0">
            <w:pPr>
              <w:spacing w:before="0"/>
              <w:jc w:val="left"/>
              <w:rPr>
                <w:bCs/>
              </w:rPr>
            </w:pPr>
            <w:r w:rsidRPr="006A6682">
              <w:rPr>
                <w:bCs/>
              </w:rPr>
              <w:t>biquad_avx512_stride16_section3</w:t>
            </w:r>
          </w:p>
        </w:tc>
        <w:tc>
          <w:tcPr>
            <w:tcW w:w="5575" w:type="dxa"/>
          </w:tcPr>
          <w:p w14:paraId="708BC5FC" w14:textId="7E67AE52" w:rsidR="005A30E0" w:rsidRPr="00081A2A" w:rsidRDefault="005A30E0" w:rsidP="005A30E0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 xml:space="preserve">Poor man’s way </w:t>
            </w:r>
            <w:r>
              <w:rPr>
                <w:bCs/>
              </w:rPr>
              <w:t>of</w:t>
            </w:r>
            <w:r w:rsidRPr="005A30E0">
              <w:rPr>
                <w:bCs/>
              </w:rPr>
              <w:t xml:space="preserve"> paralleliz</w:t>
            </w:r>
            <w:r>
              <w:rPr>
                <w:bCs/>
              </w:rPr>
              <w:t xml:space="preserve">ation, </w:t>
            </w:r>
            <w:r w:rsidRPr="005A30E0">
              <w:rPr>
                <w:bCs/>
              </w:rPr>
              <w:t xml:space="preserve">working on </w:t>
            </w:r>
            <w:r>
              <w:rPr>
                <w:bCs/>
              </w:rPr>
              <w:t>2</w:t>
            </w:r>
            <w:r w:rsidRPr="005A30E0">
              <w:rPr>
                <w:bCs/>
              </w:rPr>
              <w:t xml:space="preserve"> </w:t>
            </w:r>
            <w:r>
              <w:rPr>
                <w:bCs/>
              </w:rPr>
              <w:t>vectors</w:t>
            </w:r>
            <w:r w:rsidRPr="005A30E0">
              <w:rPr>
                <w:bCs/>
              </w:rPr>
              <w:t xml:space="preserve"> intermixed.</w:t>
            </w:r>
          </w:p>
        </w:tc>
      </w:tr>
      <w:tr w:rsidR="005A30E0" w14:paraId="189A14E8" w14:textId="77777777" w:rsidTr="00CC6963">
        <w:tc>
          <w:tcPr>
            <w:tcW w:w="3775" w:type="dxa"/>
          </w:tcPr>
          <w:p w14:paraId="313F7662" w14:textId="5C7FF52B" w:rsidR="005A30E0" w:rsidRPr="00CC6963" w:rsidRDefault="005A30E0" w:rsidP="005A30E0">
            <w:pPr>
              <w:tabs>
                <w:tab w:val="left" w:pos="2720"/>
              </w:tabs>
              <w:spacing w:before="0"/>
              <w:jc w:val="left"/>
              <w:rPr>
                <w:bCs/>
              </w:rPr>
            </w:pPr>
            <w:r w:rsidRPr="006A6682">
              <w:rPr>
                <w:bCs/>
              </w:rPr>
              <w:t>biquad_avx512_stride32_section3</w:t>
            </w:r>
          </w:p>
        </w:tc>
        <w:tc>
          <w:tcPr>
            <w:tcW w:w="5575" w:type="dxa"/>
          </w:tcPr>
          <w:p w14:paraId="6AAD621E" w14:textId="6A976F81" w:rsidR="005A30E0" w:rsidRPr="00081A2A" w:rsidRDefault="005A30E0" w:rsidP="005A30E0">
            <w:pPr>
              <w:spacing w:before="0"/>
              <w:rPr>
                <w:bCs/>
              </w:rPr>
            </w:pPr>
            <w:r w:rsidRPr="005A30E0">
              <w:rPr>
                <w:bCs/>
              </w:rPr>
              <w:t xml:space="preserve">Working on 4 </w:t>
            </w:r>
            <w:r>
              <w:rPr>
                <w:bCs/>
              </w:rPr>
              <w:t>vectors</w:t>
            </w:r>
            <w:r w:rsidRPr="005A30E0">
              <w:rPr>
                <w:bCs/>
              </w:rPr>
              <w:t xml:space="preserve"> intermixed.</w:t>
            </w:r>
          </w:p>
        </w:tc>
      </w:tr>
    </w:tbl>
    <w:p w14:paraId="4345AAD4" w14:textId="0CB0FA1F" w:rsidR="004772A8" w:rsidRDefault="004D1EAC" w:rsidP="00E976B5">
      <w:pPr>
        <w:pStyle w:val="Heading1"/>
        <w:spacing w:before="0"/>
      </w:pPr>
      <w:r>
        <w:lastRenderedPageBreak/>
        <w:t>Results</w:t>
      </w:r>
    </w:p>
    <w:p w14:paraId="268EF1F2" w14:textId="021A8501" w:rsidR="008D3D6F" w:rsidRPr="004772A8" w:rsidRDefault="008D3D6F" w:rsidP="004772A8">
      <w:r>
        <w:t xml:space="preserve">We run two version on the Xeon W-2245: once compiled using the RGC compiler flags, </w:t>
      </w:r>
      <w:r>
        <w:br/>
        <w:t>“</w:t>
      </w:r>
      <w:r w:rsidRPr="008D3D6F">
        <w:t>-O -</w:t>
      </w:r>
      <w:proofErr w:type="spellStart"/>
      <w:r w:rsidRPr="008D3D6F">
        <w:t>ffast</w:t>
      </w:r>
      <w:proofErr w:type="spellEnd"/>
      <w:r w:rsidRPr="008D3D6F">
        <w:t>-math -m80387 -msse2 -</w:t>
      </w:r>
      <w:proofErr w:type="spellStart"/>
      <w:r w:rsidRPr="008D3D6F">
        <w:t>fno-builtin-sincos</w:t>
      </w:r>
      <w:proofErr w:type="spellEnd"/>
      <w:r w:rsidRPr="008D3D6F">
        <w:t xml:space="preserve"> -march=native</w:t>
      </w:r>
      <w:r>
        <w:t>”, and once using a higher optimization level, “</w:t>
      </w:r>
      <w:r w:rsidRPr="008D3D6F">
        <w:t>-O5 -march=native</w:t>
      </w:r>
      <w:r>
        <w:t>”. The native architecture flag has been added to both, otherwise AVX2 and AVX-512 wouldn’t be available.</w:t>
      </w:r>
      <w:r w:rsidR="00EC32AE">
        <w:t xml:space="preserve"> The biquad functions are run many times to get a stable execution time.</w:t>
      </w:r>
    </w:p>
    <w:p w14:paraId="62B76C77" w14:textId="4D151EBC" w:rsidR="004772A8" w:rsidRDefault="004772A8" w:rsidP="000D51EF">
      <w:pPr>
        <w:pStyle w:val="Caption"/>
        <w:keepNext/>
        <w:spacing w:before="240"/>
      </w:pPr>
      <w:r>
        <w:t xml:space="preserve">Table </w:t>
      </w:r>
      <w:fldSimple w:instr=" SEQ Table \* ARABIC ">
        <w:r w:rsidR="00A460C7">
          <w:rPr>
            <w:noProof/>
          </w:rPr>
          <w:t>2</w:t>
        </w:r>
      </w:fldSimple>
      <w:r>
        <w:t xml:space="preserve">: Test </w:t>
      </w:r>
      <w:r w:rsidR="00A460C7">
        <w:t>Results</w:t>
      </w:r>
      <w:r w:rsidR="009C24C8">
        <w:t xml:space="preserve"> </w:t>
      </w:r>
      <w:r w:rsidR="009C24C8" w:rsidRPr="009C24C8">
        <w:t>Xeon W-2245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775"/>
        <w:gridCol w:w="1393"/>
        <w:gridCol w:w="1394"/>
        <w:gridCol w:w="1394"/>
        <w:gridCol w:w="1394"/>
      </w:tblGrid>
      <w:tr w:rsidR="008D6534" w14:paraId="1F22C74F" w14:textId="77777777" w:rsidTr="008D6534">
        <w:tc>
          <w:tcPr>
            <w:tcW w:w="3775" w:type="dxa"/>
            <w:vMerge w:val="restart"/>
            <w:vAlign w:val="center"/>
          </w:tcPr>
          <w:p w14:paraId="31C90F30" w14:textId="2D671D2A" w:rsidR="008D6534" w:rsidRPr="00DB1D14" w:rsidRDefault="008D6534" w:rsidP="008D6534">
            <w:pPr>
              <w:spacing w:before="0"/>
              <w:jc w:val="left"/>
              <w:rPr>
                <w:b/>
              </w:rPr>
            </w:pPr>
            <w:r w:rsidRPr="00DB1D14">
              <w:rPr>
                <w:b/>
              </w:rPr>
              <w:t>Function</w:t>
            </w:r>
          </w:p>
        </w:tc>
        <w:tc>
          <w:tcPr>
            <w:tcW w:w="2787" w:type="dxa"/>
            <w:gridSpan w:val="2"/>
          </w:tcPr>
          <w:p w14:paraId="3EB370F1" w14:textId="73C5B998" w:rsidR="008D6534" w:rsidRPr="00DB1D14" w:rsidRDefault="008D6534" w:rsidP="009A328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RCG flags</w:t>
            </w:r>
          </w:p>
        </w:tc>
        <w:tc>
          <w:tcPr>
            <w:tcW w:w="2788" w:type="dxa"/>
            <w:gridSpan w:val="2"/>
          </w:tcPr>
          <w:p w14:paraId="095864E1" w14:textId="6391BDE9" w:rsidR="008D6534" w:rsidRPr="00DB1D14" w:rsidRDefault="008D6534" w:rsidP="009A328A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Performance</w:t>
            </w:r>
          </w:p>
        </w:tc>
      </w:tr>
      <w:tr w:rsidR="008D6534" w14:paraId="7FF404BB" w14:textId="77777777" w:rsidTr="00B15504">
        <w:tc>
          <w:tcPr>
            <w:tcW w:w="3775" w:type="dxa"/>
            <w:vMerge/>
          </w:tcPr>
          <w:p w14:paraId="5058B0AB" w14:textId="77777777" w:rsidR="008D6534" w:rsidRPr="00DB1D14" w:rsidRDefault="008D6534" w:rsidP="008D6534">
            <w:pPr>
              <w:spacing w:before="0"/>
              <w:jc w:val="left"/>
              <w:rPr>
                <w:b/>
              </w:rPr>
            </w:pPr>
          </w:p>
        </w:tc>
        <w:tc>
          <w:tcPr>
            <w:tcW w:w="1393" w:type="dxa"/>
          </w:tcPr>
          <w:p w14:paraId="4F8CB645" w14:textId="73B9E449" w:rsidR="008D6534" w:rsidRDefault="008D6534" w:rsidP="008D6534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Time(s)</w:t>
            </w:r>
          </w:p>
        </w:tc>
        <w:tc>
          <w:tcPr>
            <w:tcW w:w="1394" w:type="dxa"/>
          </w:tcPr>
          <w:p w14:paraId="64394649" w14:textId="651AAC44" w:rsidR="008D6534" w:rsidRDefault="008D6534" w:rsidP="008D6534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Speedup</w:t>
            </w:r>
          </w:p>
        </w:tc>
        <w:tc>
          <w:tcPr>
            <w:tcW w:w="1394" w:type="dxa"/>
          </w:tcPr>
          <w:p w14:paraId="044A5AD4" w14:textId="4FD37C48" w:rsidR="008D6534" w:rsidRDefault="008D6534" w:rsidP="008D6534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Time(s)</w:t>
            </w:r>
          </w:p>
        </w:tc>
        <w:tc>
          <w:tcPr>
            <w:tcW w:w="1394" w:type="dxa"/>
          </w:tcPr>
          <w:p w14:paraId="0DBF5386" w14:textId="4B4F8F9C" w:rsidR="008D6534" w:rsidRDefault="008D6534" w:rsidP="008D6534">
            <w:pPr>
              <w:spacing w:before="0"/>
              <w:jc w:val="right"/>
              <w:rPr>
                <w:b/>
              </w:rPr>
            </w:pPr>
            <w:r>
              <w:rPr>
                <w:b/>
              </w:rPr>
              <w:t>Speedup</w:t>
            </w:r>
          </w:p>
        </w:tc>
      </w:tr>
      <w:tr w:rsidR="00E554AB" w14:paraId="29C4C593" w14:textId="77777777" w:rsidTr="00D231D0">
        <w:tc>
          <w:tcPr>
            <w:tcW w:w="3775" w:type="dxa"/>
          </w:tcPr>
          <w:p w14:paraId="1444E4B0" w14:textId="5C7C134F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proofErr w:type="spellStart"/>
            <w:r w:rsidRPr="00CC6963">
              <w:rPr>
                <w:bCs/>
              </w:rPr>
              <w:t>iir_filter_biquad</w:t>
            </w:r>
            <w:proofErr w:type="spellEnd"/>
          </w:p>
        </w:tc>
        <w:tc>
          <w:tcPr>
            <w:tcW w:w="1393" w:type="dxa"/>
            <w:shd w:val="clear" w:color="auto" w:fill="auto"/>
            <w:vAlign w:val="center"/>
          </w:tcPr>
          <w:p w14:paraId="46E63B32" w14:textId="6628AC6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13.8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979BC38" w14:textId="4CF8367D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E3655A9" w14:textId="21566E6E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8.4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205F640" w14:textId="71BB8E80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1.6</w:t>
            </w:r>
          </w:p>
        </w:tc>
      </w:tr>
      <w:tr w:rsidR="00E554AB" w14:paraId="09E87574" w14:textId="77777777" w:rsidTr="00D231D0">
        <w:tc>
          <w:tcPr>
            <w:tcW w:w="3775" w:type="dxa"/>
          </w:tcPr>
          <w:p w14:paraId="7CDC6773" w14:textId="1EFDA9E6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746B8E9" w14:textId="3455CA85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10.7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F30C2B2" w14:textId="5A47180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CAA10D7" w14:textId="3F1C14BD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8.6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E7998D2" w14:textId="6F16298E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1.6</w:t>
            </w:r>
          </w:p>
        </w:tc>
      </w:tr>
      <w:tr w:rsidR="00E554AB" w14:paraId="0A8E3E49" w14:textId="77777777" w:rsidTr="00D231D0">
        <w:tc>
          <w:tcPr>
            <w:tcW w:w="3775" w:type="dxa"/>
          </w:tcPr>
          <w:p w14:paraId="35EE895B" w14:textId="046B9B20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ECBFBB7" w14:textId="00FE8692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2.42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2848C9F" w14:textId="3F7D50F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5.7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2139463" w14:textId="00DB1AE1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2.32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B1833F7" w14:textId="35675AA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5.9</w:t>
            </w:r>
          </w:p>
        </w:tc>
      </w:tr>
      <w:tr w:rsidR="00E554AB" w14:paraId="70892AD6" w14:textId="77777777" w:rsidTr="00D231D0">
        <w:tc>
          <w:tcPr>
            <w:tcW w:w="3775" w:type="dxa"/>
          </w:tcPr>
          <w:p w14:paraId="0DF828CD" w14:textId="2F2AC170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biquadAVX2double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47D74C8" w14:textId="6897E4C9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2.62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F6099B" w14:textId="2630E85C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8DB36FA" w14:textId="14799F7C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2.39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41EF62" w14:textId="73A4317B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5.8</w:t>
            </w:r>
          </w:p>
        </w:tc>
      </w:tr>
      <w:tr w:rsidR="00E554AB" w14:paraId="4EDFEB93" w14:textId="77777777" w:rsidTr="00D231D0">
        <w:tc>
          <w:tcPr>
            <w:tcW w:w="3775" w:type="dxa"/>
          </w:tcPr>
          <w:p w14:paraId="593D4256" w14:textId="164BC2FA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biquadAVX512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0AC8CB" w14:textId="731D175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1.86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C5E99E" w14:textId="3E15426B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8A00C05" w14:textId="693EAA9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1.53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E26BAFB" w14:textId="3102BC4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9.0</w:t>
            </w:r>
          </w:p>
        </w:tc>
      </w:tr>
      <w:tr w:rsidR="00E554AB" w14:paraId="0F64F909" w14:textId="77777777" w:rsidTr="00D231D0">
        <w:tc>
          <w:tcPr>
            <w:tcW w:w="3775" w:type="dxa"/>
          </w:tcPr>
          <w:p w14:paraId="7F5D4FAC" w14:textId="7383A9C3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C19D187" w14:textId="518A569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14.8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587EBA1" w14:textId="432889A4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A67532E" w14:textId="262093F5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8</w:t>
            </w:r>
            <w:r w:rsidR="00BE5635">
              <w:rPr>
                <w:bCs/>
                <w:color w:val="000000"/>
              </w:rPr>
              <w:t>.0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9C6818E" w14:textId="3FEE8A9C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1.7</w:t>
            </w:r>
          </w:p>
        </w:tc>
      </w:tr>
      <w:tr w:rsidR="00E554AB" w14:paraId="6C4BCD21" w14:textId="77777777" w:rsidTr="00D231D0">
        <w:tc>
          <w:tcPr>
            <w:tcW w:w="3775" w:type="dxa"/>
          </w:tcPr>
          <w:p w14:paraId="2FB27695" w14:textId="1D149FD8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04C73E1" w14:textId="11D188A1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9.9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0068263" w14:textId="2E733080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4C4EF59" w14:textId="09C7B38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6.5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C7C0153" w14:textId="1BD2A21C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2.1</w:t>
            </w:r>
          </w:p>
        </w:tc>
      </w:tr>
      <w:tr w:rsidR="00E554AB" w14:paraId="283645A4" w14:textId="77777777" w:rsidTr="00D231D0">
        <w:tc>
          <w:tcPr>
            <w:tcW w:w="3775" w:type="dxa"/>
          </w:tcPr>
          <w:p w14:paraId="33094E1F" w14:textId="3B44DAA4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biquad_stride</w:t>
            </w:r>
            <w:r>
              <w:rPr>
                <w:bCs/>
              </w:rPr>
              <w:t>4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A0D8CCB" w14:textId="31D7DFFD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9.6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4DF4FAA" w14:textId="41B8BBBC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0019C8" w14:textId="11758BB3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6.4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706BABB" w14:textId="2C477DB3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2.2</w:t>
            </w:r>
          </w:p>
        </w:tc>
      </w:tr>
      <w:tr w:rsidR="00E554AB" w14:paraId="1FBD9D0A" w14:textId="77777777" w:rsidTr="00D231D0">
        <w:tc>
          <w:tcPr>
            <w:tcW w:w="3775" w:type="dxa"/>
          </w:tcPr>
          <w:p w14:paraId="451A76C6" w14:textId="5B848FC1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biquad_avx2_stride4_section3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AC785D1" w14:textId="2B288982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659379" w14:textId="4D301A4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AD735D6" w14:textId="0659CEE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1.76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34B6DBC" w14:textId="288FCE15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7.8</w:t>
            </w:r>
          </w:p>
        </w:tc>
      </w:tr>
      <w:tr w:rsidR="00E554AB" w14:paraId="0AB4E99C" w14:textId="77777777" w:rsidTr="00D231D0">
        <w:tc>
          <w:tcPr>
            <w:tcW w:w="3775" w:type="dxa"/>
          </w:tcPr>
          <w:p w14:paraId="483E5702" w14:textId="078BD893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biquad_avx2_stride8_section3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CCF3420" w14:textId="07C95B77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2.41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40F9C45" w14:textId="52C6A471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5EAEB72" w14:textId="658F9C6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1.93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A9CC16B" w14:textId="052BF541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7.2</w:t>
            </w:r>
          </w:p>
        </w:tc>
      </w:tr>
      <w:tr w:rsidR="00E554AB" w14:paraId="718DFE56" w14:textId="77777777" w:rsidTr="00D231D0">
        <w:tc>
          <w:tcPr>
            <w:tcW w:w="3775" w:type="dxa"/>
          </w:tcPr>
          <w:p w14:paraId="5972C0F0" w14:textId="1B0043BD" w:rsidR="00E554AB" w:rsidRPr="00CC6963" w:rsidRDefault="00E554AB" w:rsidP="00E554AB">
            <w:pPr>
              <w:tabs>
                <w:tab w:val="left" w:pos="2310"/>
              </w:tabs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biquad_avx2_stride16_section3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4E413A00" w14:textId="7C8DC1AA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1.85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75AFF8C" w14:textId="654B832D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90A66C4" w14:textId="63915EC2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1.75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260AB07" w14:textId="142B3BFF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7.9</w:t>
            </w:r>
          </w:p>
        </w:tc>
      </w:tr>
      <w:tr w:rsidR="00E554AB" w14:paraId="53E87387" w14:textId="77777777" w:rsidTr="00D231D0">
        <w:tc>
          <w:tcPr>
            <w:tcW w:w="3775" w:type="dxa"/>
          </w:tcPr>
          <w:p w14:paraId="6F631E6D" w14:textId="7433764F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biquad_avx2_stride32_section3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0964DC8" w14:textId="159336D2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1.73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132BE89" w14:textId="4BAAC06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8.0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2C44F2E" w14:textId="5ABCF76E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2.32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933F19" w14:textId="5430AF27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5.9</w:t>
            </w:r>
          </w:p>
        </w:tc>
      </w:tr>
      <w:tr w:rsidR="00E554AB" w14:paraId="5CA8F080" w14:textId="77777777" w:rsidTr="00D231D0">
        <w:tc>
          <w:tcPr>
            <w:tcW w:w="3775" w:type="dxa"/>
          </w:tcPr>
          <w:p w14:paraId="17A4ECE5" w14:textId="754EADEE" w:rsidR="00E554AB" w:rsidRPr="00CC6963" w:rsidRDefault="00E554AB" w:rsidP="00E554AB">
            <w:pPr>
              <w:spacing w:before="0"/>
              <w:jc w:val="left"/>
              <w:rPr>
                <w:bCs/>
              </w:rPr>
            </w:pPr>
            <w:r w:rsidRPr="00CC6963">
              <w:rPr>
                <w:bCs/>
              </w:rPr>
              <w:t>biquad_avx512_stride8_section3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AC04A28" w14:textId="63EE0427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1.91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DE9992E" w14:textId="3D222914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5A63979" w14:textId="1A78D3F7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1.35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D20C16B" w14:textId="55793AD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10.2</w:t>
            </w:r>
          </w:p>
        </w:tc>
      </w:tr>
      <w:tr w:rsidR="00E554AB" w14:paraId="5ABED0FE" w14:textId="77777777" w:rsidTr="00D231D0">
        <w:tc>
          <w:tcPr>
            <w:tcW w:w="3775" w:type="dxa"/>
          </w:tcPr>
          <w:p w14:paraId="581F350B" w14:textId="66737FC4" w:rsidR="00E554AB" w:rsidRPr="00CC6963" w:rsidRDefault="00E554AB" w:rsidP="00E554AB">
            <w:pPr>
              <w:tabs>
                <w:tab w:val="left" w:pos="2720"/>
              </w:tabs>
              <w:spacing w:before="0"/>
              <w:jc w:val="left"/>
              <w:rPr>
                <w:bCs/>
              </w:rPr>
            </w:pPr>
            <w:r w:rsidRPr="006A6682">
              <w:rPr>
                <w:bCs/>
              </w:rPr>
              <w:t>biquad_avx512_stride16_section3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7177A7B" w14:textId="799F5404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1.33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AC29E32" w14:textId="706724C5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73BB204" w14:textId="0C2EE936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1.05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042B8F8" w14:textId="06CFF4E2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13.1</w:t>
            </w:r>
          </w:p>
        </w:tc>
      </w:tr>
      <w:tr w:rsidR="00E554AB" w14:paraId="5021EF6A" w14:textId="77777777" w:rsidTr="00D231D0">
        <w:tc>
          <w:tcPr>
            <w:tcW w:w="3775" w:type="dxa"/>
          </w:tcPr>
          <w:p w14:paraId="428D4422" w14:textId="77F9693A" w:rsidR="00E554AB" w:rsidRPr="006A6682" w:rsidRDefault="00E554AB" w:rsidP="00E554AB">
            <w:pPr>
              <w:tabs>
                <w:tab w:val="left" w:pos="2720"/>
              </w:tabs>
              <w:spacing w:before="0"/>
              <w:jc w:val="left"/>
              <w:rPr>
                <w:bCs/>
              </w:rPr>
            </w:pPr>
            <w:r w:rsidRPr="006A6682">
              <w:rPr>
                <w:bCs/>
              </w:rPr>
              <w:t>biquad_avx512_stride32_section3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184A1BA" w14:textId="654A9CA9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1.22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83D10F2" w14:textId="7A68F960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9BFEC7B" w14:textId="664BDC27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bCs/>
                <w:color w:val="000000"/>
              </w:rPr>
              <w:t>1.18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44F2C2" w14:textId="5134DDFB" w:rsidR="00E554AB" w:rsidRPr="00081A2A" w:rsidRDefault="00E554AB" w:rsidP="00E554AB">
            <w:pPr>
              <w:spacing w:before="0"/>
              <w:jc w:val="right"/>
              <w:rPr>
                <w:bCs/>
              </w:rPr>
            </w:pPr>
            <w:r>
              <w:rPr>
                <w:color w:val="000000"/>
              </w:rPr>
              <w:t>11.7</w:t>
            </w:r>
          </w:p>
        </w:tc>
      </w:tr>
    </w:tbl>
    <w:p w14:paraId="65648460" w14:textId="6BE69615" w:rsidR="004772A8" w:rsidRDefault="00D231D0" w:rsidP="00D231D0">
      <w:pPr>
        <w:pStyle w:val="Heading1"/>
      </w:pPr>
      <w:r>
        <w:t>Conclusions</w:t>
      </w:r>
    </w:p>
    <w:p w14:paraId="081881F8" w14:textId="2F413625" w:rsidR="00D231D0" w:rsidRDefault="009A328A" w:rsidP="00D231D0">
      <w:r>
        <w:t>AVX2 and AVX-512 can provide a good speed</w:t>
      </w:r>
      <w:r w:rsidR="00E60177">
        <w:t>up</w:t>
      </w:r>
      <w:r>
        <w:t xml:space="preserve"> over the current implementation of the internal decimation filters. </w:t>
      </w:r>
    </w:p>
    <w:p w14:paraId="03273103" w14:textId="11DE0BD5" w:rsidR="009A328A" w:rsidRDefault="009A328A" w:rsidP="00D231D0">
      <w:r>
        <w:t>We would profit from being able to compile the front-end code with a higher optimization level.</w:t>
      </w:r>
    </w:p>
    <w:p w14:paraId="0E78B742" w14:textId="6688AEF3" w:rsidR="009A328A" w:rsidRDefault="009A328A" w:rsidP="00D231D0">
      <w:r>
        <w:t xml:space="preserve">Both AVX2 and AVX-512 implementations are less dependent on the selected </w:t>
      </w:r>
      <w:r w:rsidRPr="009A328A">
        <w:t>optimization level</w:t>
      </w:r>
      <w:r>
        <w:t>.</w:t>
      </w:r>
    </w:p>
    <w:p w14:paraId="24AC9F22" w14:textId="566BD6C1" w:rsidR="009A328A" w:rsidRPr="00D231D0" w:rsidRDefault="009A328A" w:rsidP="00D231D0">
      <w:r>
        <w:t>At high optimization level the speedup by AVX2 is between 3-5, whereas for AVX-512 it is between 5 and 8</w:t>
      </w:r>
      <w:r w:rsidR="00F06257">
        <w:t>.</w:t>
      </w:r>
      <w:r w:rsidR="00217F5D">
        <w:t xml:space="preserve"> At the RGC optimization level, the </w:t>
      </w:r>
      <w:r w:rsidR="00003E78">
        <w:t>AVX2 speed up is between 2.5 and 8, whereas the AVX-512 speedup is between 7 and 11.</w:t>
      </w:r>
      <w:r w:rsidR="00E60177">
        <w:t xml:space="preserve"> The real world speedup of an IOP is of course less, since it has to perform other operations, but with both a fast and a low noise ADC running at 2</w:t>
      </w:r>
      <w:r w:rsidR="00E60177" w:rsidRPr="00E60177">
        <w:rPr>
          <w:vertAlign w:val="superscript"/>
        </w:rPr>
        <w:t>19</w:t>
      </w:r>
      <w:r w:rsidR="00E60177">
        <w:t> Hz the burden of the decimation filters is significant.</w:t>
      </w:r>
    </w:p>
    <w:sectPr w:rsidR="009A328A" w:rsidRPr="00D231D0" w:rsidSect="006B7456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C592" w14:textId="77777777" w:rsidR="0066218A" w:rsidRDefault="0066218A">
      <w:r>
        <w:separator/>
      </w:r>
    </w:p>
  </w:endnote>
  <w:endnote w:type="continuationSeparator" w:id="0">
    <w:p w14:paraId="7106146B" w14:textId="77777777" w:rsidR="0066218A" w:rsidRDefault="006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9B74" w14:textId="77777777" w:rsidR="0091475C" w:rsidRDefault="009147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480F0" w14:textId="77777777" w:rsidR="0091475C" w:rsidRDefault="00914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8D9A" w14:textId="77777777" w:rsidR="0091475C" w:rsidRDefault="0091475C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862">
      <w:rPr>
        <w:rStyle w:val="PageNumber"/>
        <w:noProof/>
      </w:rPr>
      <w:t>14</w:t>
    </w:r>
    <w:r>
      <w:rPr>
        <w:rStyle w:val="PageNumber"/>
      </w:rPr>
      <w:fldChar w:fldCharType="end"/>
    </w:r>
  </w:p>
  <w:p w14:paraId="53870F55" w14:textId="77777777" w:rsidR="0091475C" w:rsidRDefault="009147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C8F5" w14:textId="77777777" w:rsidR="0066218A" w:rsidRDefault="0066218A">
      <w:r>
        <w:separator/>
      </w:r>
    </w:p>
  </w:footnote>
  <w:footnote w:type="continuationSeparator" w:id="0">
    <w:p w14:paraId="4FC98D85" w14:textId="77777777" w:rsidR="0066218A" w:rsidRDefault="0066218A">
      <w:r>
        <w:continuationSeparator/>
      </w:r>
    </w:p>
  </w:footnote>
  <w:footnote w:id="1">
    <w:p w14:paraId="56DD4C21" w14:textId="4E13416A" w:rsidR="00217475" w:rsidRDefault="002174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17475">
          <w:rPr>
            <w:rStyle w:val="Hyperlink"/>
          </w:rPr>
          <w:t>https://en.wikipedia.org/wiki/Advanced_Vector_Extensions</w:t>
        </w:r>
      </w:hyperlink>
    </w:p>
  </w:footnote>
  <w:footnote w:id="2">
    <w:p w14:paraId="72DD00CC" w14:textId="2935A3F2" w:rsidR="00217475" w:rsidRDefault="002174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217475">
          <w:rPr>
            <w:rStyle w:val="Hyperlink"/>
          </w:rPr>
          <w:t>https://en.wikichip.org/wiki/intel/xeon_gold/6244</w:t>
        </w:r>
      </w:hyperlink>
    </w:p>
  </w:footnote>
  <w:footnote w:id="3">
    <w:p w14:paraId="476A278F" w14:textId="2C842AAE" w:rsidR="00217475" w:rsidRDefault="00217475" w:rsidP="00217475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17475">
          <w:rPr>
            <w:rStyle w:val="Hyperlink"/>
          </w:rPr>
          <w:t>https://extensa.tech/blog/avx-throttling-part1/</w:t>
        </w:r>
      </w:hyperlink>
    </w:p>
  </w:footnote>
  <w:footnote w:id="4">
    <w:p w14:paraId="22D2298D" w14:textId="4D1EB484" w:rsidR="00217475" w:rsidRDefault="002174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217475">
          <w:rPr>
            <w:rStyle w:val="Hyperlink"/>
          </w:rPr>
          <w:t>https://lemire.me/blog/2018/09/07/avx-512-when-and-how-to-use-these-new-instructions/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EEA6" w14:textId="33B67B82" w:rsidR="0091475C" w:rsidRDefault="0091475C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</w:t>
    </w:r>
    <w:r w:rsidR="005F1A77">
      <w:rPr>
        <w:sz w:val="20"/>
      </w:rPr>
      <w:t>T21</w:t>
    </w:r>
    <w:r w:rsidRPr="005D355E">
      <w:rPr>
        <w:sz w:val="20"/>
      </w:rPr>
      <w:t>00</w:t>
    </w:r>
    <w:r w:rsidR="005F1A77">
      <w:rPr>
        <w:sz w:val="20"/>
      </w:rPr>
      <w:t>460</w:t>
    </w:r>
    <w:r>
      <w:rPr>
        <w:sz w:val="20"/>
      </w:rPr>
      <w:t>-v</w:t>
    </w:r>
    <w:r w:rsidR="005F1A77">
      <w:rPr>
        <w:sz w:val="2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EDEA" w14:textId="77777777" w:rsidR="0091475C" w:rsidRPr="00317353" w:rsidRDefault="0066218A">
    <w:pPr>
      <w:pStyle w:val="Header"/>
      <w:jc w:val="right"/>
      <w:rPr>
        <w:szCs w:val="24"/>
      </w:rPr>
    </w:pPr>
    <w:r>
      <w:rPr>
        <w:noProof/>
        <w:szCs w:val="24"/>
      </w:rPr>
      <w:object w:dxaOrig="1440" w:dyaOrig="1440" w14:anchorId="528CA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4pt;margin-top:-1.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697547485" r:id="rId2"/>
      </w:object>
    </w:r>
    <w:r w:rsidR="0091475C" w:rsidRPr="00317353">
      <w:rPr>
        <w:b/>
        <w:caps/>
        <w:szCs w:val="24"/>
      </w:rPr>
      <w:t>Laser Interferometer Gravitational Wave Observatory</w:t>
    </w:r>
    <w:r w:rsidR="0091475C" w:rsidRPr="00317353">
      <w:rPr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0EA7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2" w15:restartNumberingAfterBreak="0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A433082"/>
    <w:multiLevelType w:val="multilevel"/>
    <w:tmpl w:val="82F201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4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3"/>
  </w:num>
  <w:num w:numId="23">
    <w:abstractNumId w:val="1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B2"/>
    <w:rsid w:val="0000145E"/>
    <w:rsid w:val="00001E81"/>
    <w:rsid w:val="00002003"/>
    <w:rsid w:val="000026E4"/>
    <w:rsid w:val="00002CA2"/>
    <w:rsid w:val="00002D60"/>
    <w:rsid w:val="000037BB"/>
    <w:rsid w:val="00003E78"/>
    <w:rsid w:val="00004262"/>
    <w:rsid w:val="00005675"/>
    <w:rsid w:val="00005F13"/>
    <w:rsid w:val="00006A70"/>
    <w:rsid w:val="000110C1"/>
    <w:rsid w:val="000114AF"/>
    <w:rsid w:val="00011733"/>
    <w:rsid w:val="00011D34"/>
    <w:rsid w:val="000136C3"/>
    <w:rsid w:val="00014E25"/>
    <w:rsid w:val="000155D5"/>
    <w:rsid w:val="00016196"/>
    <w:rsid w:val="000169AC"/>
    <w:rsid w:val="0001759E"/>
    <w:rsid w:val="00017C5A"/>
    <w:rsid w:val="00021510"/>
    <w:rsid w:val="000222C7"/>
    <w:rsid w:val="00023768"/>
    <w:rsid w:val="000263E2"/>
    <w:rsid w:val="000273E0"/>
    <w:rsid w:val="00027D31"/>
    <w:rsid w:val="00027FA5"/>
    <w:rsid w:val="00030CF2"/>
    <w:rsid w:val="00031B03"/>
    <w:rsid w:val="0003321C"/>
    <w:rsid w:val="000338B1"/>
    <w:rsid w:val="00034BBD"/>
    <w:rsid w:val="0003575C"/>
    <w:rsid w:val="000402F0"/>
    <w:rsid w:val="000406BD"/>
    <w:rsid w:val="00040F5D"/>
    <w:rsid w:val="00041CA1"/>
    <w:rsid w:val="000443D6"/>
    <w:rsid w:val="00046AA1"/>
    <w:rsid w:val="00047C9D"/>
    <w:rsid w:val="00052119"/>
    <w:rsid w:val="0005300E"/>
    <w:rsid w:val="0005342C"/>
    <w:rsid w:val="00055C22"/>
    <w:rsid w:val="00057B8B"/>
    <w:rsid w:val="00060537"/>
    <w:rsid w:val="00060AEF"/>
    <w:rsid w:val="00060DA8"/>
    <w:rsid w:val="00061BF5"/>
    <w:rsid w:val="000625F8"/>
    <w:rsid w:val="00062A1A"/>
    <w:rsid w:val="000647BB"/>
    <w:rsid w:val="00066059"/>
    <w:rsid w:val="0006791B"/>
    <w:rsid w:val="00070335"/>
    <w:rsid w:val="000720F1"/>
    <w:rsid w:val="0007328F"/>
    <w:rsid w:val="0007426B"/>
    <w:rsid w:val="00074329"/>
    <w:rsid w:val="000801B9"/>
    <w:rsid w:val="000810CC"/>
    <w:rsid w:val="00081516"/>
    <w:rsid w:val="00081A2A"/>
    <w:rsid w:val="0008243B"/>
    <w:rsid w:val="000826B8"/>
    <w:rsid w:val="0008432A"/>
    <w:rsid w:val="00084BA0"/>
    <w:rsid w:val="000854BC"/>
    <w:rsid w:val="00090EC3"/>
    <w:rsid w:val="000926AA"/>
    <w:rsid w:val="0009271D"/>
    <w:rsid w:val="00093D61"/>
    <w:rsid w:val="00095AE2"/>
    <w:rsid w:val="000964C8"/>
    <w:rsid w:val="00096592"/>
    <w:rsid w:val="000976B9"/>
    <w:rsid w:val="00097A1B"/>
    <w:rsid w:val="000A12DC"/>
    <w:rsid w:val="000A381B"/>
    <w:rsid w:val="000B0781"/>
    <w:rsid w:val="000B1555"/>
    <w:rsid w:val="000B2BCD"/>
    <w:rsid w:val="000B4943"/>
    <w:rsid w:val="000B4DC1"/>
    <w:rsid w:val="000B53E9"/>
    <w:rsid w:val="000B5560"/>
    <w:rsid w:val="000B57B9"/>
    <w:rsid w:val="000B6360"/>
    <w:rsid w:val="000B762F"/>
    <w:rsid w:val="000B7A66"/>
    <w:rsid w:val="000C0812"/>
    <w:rsid w:val="000C0F73"/>
    <w:rsid w:val="000C3156"/>
    <w:rsid w:val="000C39CD"/>
    <w:rsid w:val="000C3BFA"/>
    <w:rsid w:val="000C3D3C"/>
    <w:rsid w:val="000C445D"/>
    <w:rsid w:val="000C70D9"/>
    <w:rsid w:val="000D0292"/>
    <w:rsid w:val="000D0526"/>
    <w:rsid w:val="000D07A8"/>
    <w:rsid w:val="000D322F"/>
    <w:rsid w:val="000D3411"/>
    <w:rsid w:val="000D34B3"/>
    <w:rsid w:val="000D35D3"/>
    <w:rsid w:val="000D3C99"/>
    <w:rsid w:val="000D4CE0"/>
    <w:rsid w:val="000D51EF"/>
    <w:rsid w:val="000D5AF4"/>
    <w:rsid w:val="000D76D7"/>
    <w:rsid w:val="000E0D58"/>
    <w:rsid w:val="000E18AD"/>
    <w:rsid w:val="000E312A"/>
    <w:rsid w:val="000E3BAB"/>
    <w:rsid w:val="000E43D8"/>
    <w:rsid w:val="000E5020"/>
    <w:rsid w:val="000E50CD"/>
    <w:rsid w:val="000E6FD9"/>
    <w:rsid w:val="000E72BB"/>
    <w:rsid w:val="000E73D3"/>
    <w:rsid w:val="000F0204"/>
    <w:rsid w:val="000F188F"/>
    <w:rsid w:val="000F26FD"/>
    <w:rsid w:val="000F3598"/>
    <w:rsid w:val="000F4C65"/>
    <w:rsid w:val="000F5565"/>
    <w:rsid w:val="000F7581"/>
    <w:rsid w:val="00102462"/>
    <w:rsid w:val="00102985"/>
    <w:rsid w:val="001077C1"/>
    <w:rsid w:val="00110F5C"/>
    <w:rsid w:val="00114AF3"/>
    <w:rsid w:val="00115550"/>
    <w:rsid w:val="0011560C"/>
    <w:rsid w:val="00115AF7"/>
    <w:rsid w:val="00116A88"/>
    <w:rsid w:val="00116B70"/>
    <w:rsid w:val="0012004B"/>
    <w:rsid w:val="00120501"/>
    <w:rsid w:val="0012206C"/>
    <w:rsid w:val="00123C5E"/>
    <w:rsid w:val="001306DD"/>
    <w:rsid w:val="00130B6E"/>
    <w:rsid w:val="00131DA0"/>
    <w:rsid w:val="00133716"/>
    <w:rsid w:val="001348EC"/>
    <w:rsid w:val="001357D2"/>
    <w:rsid w:val="00141232"/>
    <w:rsid w:val="00143E60"/>
    <w:rsid w:val="00145728"/>
    <w:rsid w:val="00145CD9"/>
    <w:rsid w:val="00146128"/>
    <w:rsid w:val="00147918"/>
    <w:rsid w:val="001479C9"/>
    <w:rsid w:val="0015071B"/>
    <w:rsid w:val="00155CDE"/>
    <w:rsid w:val="00156746"/>
    <w:rsid w:val="0015730B"/>
    <w:rsid w:val="00160636"/>
    <w:rsid w:val="00160B9B"/>
    <w:rsid w:val="00163E86"/>
    <w:rsid w:val="0016617D"/>
    <w:rsid w:val="00167288"/>
    <w:rsid w:val="00171B34"/>
    <w:rsid w:val="0017319F"/>
    <w:rsid w:val="00176460"/>
    <w:rsid w:val="00177FB1"/>
    <w:rsid w:val="0018168A"/>
    <w:rsid w:val="00182157"/>
    <w:rsid w:val="00183012"/>
    <w:rsid w:val="0018355B"/>
    <w:rsid w:val="001848D9"/>
    <w:rsid w:val="001853BA"/>
    <w:rsid w:val="00187D2B"/>
    <w:rsid w:val="00190264"/>
    <w:rsid w:val="001919EB"/>
    <w:rsid w:val="001923BB"/>
    <w:rsid w:val="00194A81"/>
    <w:rsid w:val="00195138"/>
    <w:rsid w:val="00195318"/>
    <w:rsid w:val="001960F5"/>
    <w:rsid w:val="00197381"/>
    <w:rsid w:val="001A049B"/>
    <w:rsid w:val="001A04AD"/>
    <w:rsid w:val="001A1F42"/>
    <w:rsid w:val="001A2777"/>
    <w:rsid w:val="001A27FB"/>
    <w:rsid w:val="001A6CDF"/>
    <w:rsid w:val="001A786D"/>
    <w:rsid w:val="001B0D4E"/>
    <w:rsid w:val="001B1DE7"/>
    <w:rsid w:val="001B2353"/>
    <w:rsid w:val="001B3593"/>
    <w:rsid w:val="001B3CB4"/>
    <w:rsid w:val="001B4140"/>
    <w:rsid w:val="001B4603"/>
    <w:rsid w:val="001B4D4A"/>
    <w:rsid w:val="001B4E0E"/>
    <w:rsid w:val="001B50D8"/>
    <w:rsid w:val="001B67BD"/>
    <w:rsid w:val="001B77B4"/>
    <w:rsid w:val="001C0B2E"/>
    <w:rsid w:val="001C17A3"/>
    <w:rsid w:val="001C2004"/>
    <w:rsid w:val="001C3B88"/>
    <w:rsid w:val="001C3DD8"/>
    <w:rsid w:val="001C5754"/>
    <w:rsid w:val="001C69F0"/>
    <w:rsid w:val="001C6DE2"/>
    <w:rsid w:val="001D151E"/>
    <w:rsid w:val="001D4149"/>
    <w:rsid w:val="001D4AC0"/>
    <w:rsid w:val="001D5E8F"/>
    <w:rsid w:val="001D60FE"/>
    <w:rsid w:val="001D6961"/>
    <w:rsid w:val="001D69D8"/>
    <w:rsid w:val="001D6BF1"/>
    <w:rsid w:val="001D7940"/>
    <w:rsid w:val="001D7E35"/>
    <w:rsid w:val="001E013C"/>
    <w:rsid w:val="001E0981"/>
    <w:rsid w:val="001E1ADA"/>
    <w:rsid w:val="001E2C86"/>
    <w:rsid w:val="001E32C2"/>
    <w:rsid w:val="001E5066"/>
    <w:rsid w:val="001E6052"/>
    <w:rsid w:val="001E79E6"/>
    <w:rsid w:val="001E7A09"/>
    <w:rsid w:val="001F152C"/>
    <w:rsid w:val="001F2790"/>
    <w:rsid w:val="001F31D2"/>
    <w:rsid w:val="001F36C6"/>
    <w:rsid w:val="001F67E9"/>
    <w:rsid w:val="00203525"/>
    <w:rsid w:val="00204EF4"/>
    <w:rsid w:val="00205BEF"/>
    <w:rsid w:val="00206756"/>
    <w:rsid w:val="002113DE"/>
    <w:rsid w:val="00211491"/>
    <w:rsid w:val="00212E57"/>
    <w:rsid w:val="00213141"/>
    <w:rsid w:val="00214766"/>
    <w:rsid w:val="00214AF1"/>
    <w:rsid w:val="00215931"/>
    <w:rsid w:val="00216029"/>
    <w:rsid w:val="00217475"/>
    <w:rsid w:val="00217E90"/>
    <w:rsid w:val="00217F5D"/>
    <w:rsid w:val="0022253A"/>
    <w:rsid w:val="00222752"/>
    <w:rsid w:val="002236C5"/>
    <w:rsid w:val="002239F2"/>
    <w:rsid w:val="00224122"/>
    <w:rsid w:val="00224737"/>
    <w:rsid w:val="00226999"/>
    <w:rsid w:val="0023100A"/>
    <w:rsid w:val="002314C2"/>
    <w:rsid w:val="0023196D"/>
    <w:rsid w:val="00233DE6"/>
    <w:rsid w:val="00233DFC"/>
    <w:rsid w:val="00233E9B"/>
    <w:rsid w:val="002352FB"/>
    <w:rsid w:val="00243C42"/>
    <w:rsid w:val="002447AF"/>
    <w:rsid w:val="002477F4"/>
    <w:rsid w:val="00247A26"/>
    <w:rsid w:val="00247BEE"/>
    <w:rsid w:val="00247E80"/>
    <w:rsid w:val="00254A46"/>
    <w:rsid w:val="00256277"/>
    <w:rsid w:val="002605D8"/>
    <w:rsid w:val="0026204E"/>
    <w:rsid w:val="002630CB"/>
    <w:rsid w:val="00263F0C"/>
    <w:rsid w:val="00265134"/>
    <w:rsid w:val="00265966"/>
    <w:rsid w:val="00266ACF"/>
    <w:rsid w:val="002675D2"/>
    <w:rsid w:val="00270386"/>
    <w:rsid w:val="00270FA9"/>
    <w:rsid w:val="00276801"/>
    <w:rsid w:val="0028012B"/>
    <w:rsid w:val="00283425"/>
    <w:rsid w:val="00284479"/>
    <w:rsid w:val="00285006"/>
    <w:rsid w:val="002857FC"/>
    <w:rsid w:val="00291B55"/>
    <w:rsid w:val="002927B7"/>
    <w:rsid w:val="002934F2"/>
    <w:rsid w:val="00294207"/>
    <w:rsid w:val="0029477C"/>
    <w:rsid w:val="00294D8F"/>
    <w:rsid w:val="00295B20"/>
    <w:rsid w:val="002962D4"/>
    <w:rsid w:val="00296496"/>
    <w:rsid w:val="00296E42"/>
    <w:rsid w:val="00297FB2"/>
    <w:rsid w:val="002A0211"/>
    <w:rsid w:val="002A0459"/>
    <w:rsid w:val="002A0C7B"/>
    <w:rsid w:val="002A224D"/>
    <w:rsid w:val="002A2880"/>
    <w:rsid w:val="002A3CCE"/>
    <w:rsid w:val="002A6AA7"/>
    <w:rsid w:val="002A6C12"/>
    <w:rsid w:val="002A6D94"/>
    <w:rsid w:val="002B12B1"/>
    <w:rsid w:val="002B188D"/>
    <w:rsid w:val="002B2DDB"/>
    <w:rsid w:val="002B2EBD"/>
    <w:rsid w:val="002B617D"/>
    <w:rsid w:val="002B64DB"/>
    <w:rsid w:val="002B6666"/>
    <w:rsid w:val="002B67CC"/>
    <w:rsid w:val="002B6C1F"/>
    <w:rsid w:val="002C1472"/>
    <w:rsid w:val="002C2C11"/>
    <w:rsid w:val="002C397F"/>
    <w:rsid w:val="002C3C36"/>
    <w:rsid w:val="002C7598"/>
    <w:rsid w:val="002D1F3F"/>
    <w:rsid w:val="002D4ACC"/>
    <w:rsid w:val="002D508F"/>
    <w:rsid w:val="002D5E21"/>
    <w:rsid w:val="002D62CD"/>
    <w:rsid w:val="002D6758"/>
    <w:rsid w:val="002D69DC"/>
    <w:rsid w:val="002D7241"/>
    <w:rsid w:val="002E0265"/>
    <w:rsid w:val="002E0EA4"/>
    <w:rsid w:val="002E0F23"/>
    <w:rsid w:val="002E11CF"/>
    <w:rsid w:val="002E292F"/>
    <w:rsid w:val="002E40C9"/>
    <w:rsid w:val="002E5E38"/>
    <w:rsid w:val="002E7D24"/>
    <w:rsid w:val="002F033C"/>
    <w:rsid w:val="002F033E"/>
    <w:rsid w:val="002F06AD"/>
    <w:rsid w:val="002F35AA"/>
    <w:rsid w:val="002F401D"/>
    <w:rsid w:val="002F5A4C"/>
    <w:rsid w:val="002F79DA"/>
    <w:rsid w:val="0030260D"/>
    <w:rsid w:val="00302DE3"/>
    <w:rsid w:val="003033AD"/>
    <w:rsid w:val="00303F8C"/>
    <w:rsid w:val="00304134"/>
    <w:rsid w:val="003044C2"/>
    <w:rsid w:val="0030654D"/>
    <w:rsid w:val="00311279"/>
    <w:rsid w:val="00311B61"/>
    <w:rsid w:val="003120C2"/>
    <w:rsid w:val="003130B9"/>
    <w:rsid w:val="003145E9"/>
    <w:rsid w:val="003147B3"/>
    <w:rsid w:val="0031483C"/>
    <w:rsid w:val="00314955"/>
    <w:rsid w:val="00315210"/>
    <w:rsid w:val="00317353"/>
    <w:rsid w:val="00317C0A"/>
    <w:rsid w:val="0032084E"/>
    <w:rsid w:val="00321DA4"/>
    <w:rsid w:val="00321E95"/>
    <w:rsid w:val="00323FB8"/>
    <w:rsid w:val="00325F19"/>
    <w:rsid w:val="00330A9C"/>
    <w:rsid w:val="00332C15"/>
    <w:rsid w:val="0033449F"/>
    <w:rsid w:val="00334BE7"/>
    <w:rsid w:val="003354B7"/>
    <w:rsid w:val="003359FB"/>
    <w:rsid w:val="00336E2E"/>
    <w:rsid w:val="0034008D"/>
    <w:rsid w:val="003409D3"/>
    <w:rsid w:val="00341229"/>
    <w:rsid w:val="00341C81"/>
    <w:rsid w:val="00342E60"/>
    <w:rsid w:val="00342EFF"/>
    <w:rsid w:val="00343007"/>
    <w:rsid w:val="003439AB"/>
    <w:rsid w:val="003446A8"/>
    <w:rsid w:val="00344790"/>
    <w:rsid w:val="00345473"/>
    <w:rsid w:val="00345FF8"/>
    <w:rsid w:val="00350E0C"/>
    <w:rsid w:val="00354321"/>
    <w:rsid w:val="00354EC3"/>
    <w:rsid w:val="00356266"/>
    <w:rsid w:val="00356A44"/>
    <w:rsid w:val="00356BE7"/>
    <w:rsid w:val="00357AD1"/>
    <w:rsid w:val="003605EF"/>
    <w:rsid w:val="0036226E"/>
    <w:rsid w:val="00362AA4"/>
    <w:rsid w:val="003632FE"/>
    <w:rsid w:val="00366307"/>
    <w:rsid w:val="00374988"/>
    <w:rsid w:val="00374C2B"/>
    <w:rsid w:val="00374EC5"/>
    <w:rsid w:val="003759FF"/>
    <w:rsid w:val="003760C2"/>
    <w:rsid w:val="00380072"/>
    <w:rsid w:val="00381282"/>
    <w:rsid w:val="00381342"/>
    <w:rsid w:val="00386C61"/>
    <w:rsid w:val="003871F4"/>
    <w:rsid w:val="003873C9"/>
    <w:rsid w:val="0038768E"/>
    <w:rsid w:val="00390B9F"/>
    <w:rsid w:val="00391EAB"/>
    <w:rsid w:val="00392D99"/>
    <w:rsid w:val="003937EE"/>
    <w:rsid w:val="003965A6"/>
    <w:rsid w:val="003969CB"/>
    <w:rsid w:val="0039728B"/>
    <w:rsid w:val="003974D8"/>
    <w:rsid w:val="003976D2"/>
    <w:rsid w:val="00397985"/>
    <w:rsid w:val="003A1660"/>
    <w:rsid w:val="003A2023"/>
    <w:rsid w:val="003A28EE"/>
    <w:rsid w:val="003A43E8"/>
    <w:rsid w:val="003A4E26"/>
    <w:rsid w:val="003B0B61"/>
    <w:rsid w:val="003B4428"/>
    <w:rsid w:val="003B45D8"/>
    <w:rsid w:val="003B5592"/>
    <w:rsid w:val="003B6EE4"/>
    <w:rsid w:val="003B7237"/>
    <w:rsid w:val="003B7D6F"/>
    <w:rsid w:val="003C0305"/>
    <w:rsid w:val="003C0642"/>
    <w:rsid w:val="003C10C2"/>
    <w:rsid w:val="003C20DE"/>
    <w:rsid w:val="003C3838"/>
    <w:rsid w:val="003C3E0A"/>
    <w:rsid w:val="003C5901"/>
    <w:rsid w:val="003C62BC"/>
    <w:rsid w:val="003C68C8"/>
    <w:rsid w:val="003C6B9D"/>
    <w:rsid w:val="003C6E29"/>
    <w:rsid w:val="003C7EAD"/>
    <w:rsid w:val="003D15AD"/>
    <w:rsid w:val="003D271B"/>
    <w:rsid w:val="003D27CA"/>
    <w:rsid w:val="003D33A9"/>
    <w:rsid w:val="003E2335"/>
    <w:rsid w:val="003E260E"/>
    <w:rsid w:val="003E329F"/>
    <w:rsid w:val="003E3FFE"/>
    <w:rsid w:val="003E53C5"/>
    <w:rsid w:val="003E6458"/>
    <w:rsid w:val="003E7BA7"/>
    <w:rsid w:val="003F03B8"/>
    <w:rsid w:val="003F095E"/>
    <w:rsid w:val="003F145A"/>
    <w:rsid w:val="003F24F9"/>
    <w:rsid w:val="003F2886"/>
    <w:rsid w:val="003F41F8"/>
    <w:rsid w:val="003F5AE6"/>
    <w:rsid w:val="003F5C83"/>
    <w:rsid w:val="004004FA"/>
    <w:rsid w:val="004019D0"/>
    <w:rsid w:val="00402DFC"/>
    <w:rsid w:val="00405FF7"/>
    <w:rsid w:val="00406319"/>
    <w:rsid w:val="00406AF8"/>
    <w:rsid w:val="00407EE4"/>
    <w:rsid w:val="00410BFC"/>
    <w:rsid w:val="00412122"/>
    <w:rsid w:val="004162E3"/>
    <w:rsid w:val="0042005C"/>
    <w:rsid w:val="004217B8"/>
    <w:rsid w:val="00421EF0"/>
    <w:rsid w:val="00422125"/>
    <w:rsid w:val="00422BBF"/>
    <w:rsid w:val="00424374"/>
    <w:rsid w:val="004246F2"/>
    <w:rsid w:val="00432E3D"/>
    <w:rsid w:val="004351A5"/>
    <w:rsid w:val="00436E0E"/>
    <w:rsid w:val="00440045"/>
    <w:rsid w:val="00441AC8"/>
    <w:rsid w:val="00442951"/>
    <w:rsid w:val="0044328A"/>
    <w:rsid w:val="0044328B"/>
    <w:rsid w:val="00443733"/>
    <w:rsid w:val="00443E77"/>
    <w:rsid w:val="00444875"/>
    <w:rsid w:val="00444D13"/>
    <w:rsid w:val="004453BB"/>
    <w:rsid w:val="0044667B"/>
    <w:rsid w:val="004466E0"/>
    <w:rsid w:val="004469E8"/>
    <w:rsid w:val="00446FAD"/>
    <w:rsid w:val="00450435"/>
    <w:rsid w:val="00451F86"/>
    <w:rsid w:val="0045241A"/>
    <w:rsid w:val="00452E49"/>
    <w:rsid w:val="00454983"/>
    <w:rsid w:val="004564CF"/>
    <w:rsid w:val="00456F2A"/>
    <w:rsid w:val="00462D39"/>
    <w:rsid w:val="0046367E"/>
    <w:rsid w:val="00463FEC"/>
    <w:rsid w:val="00464D7A"/>
    <w:rsid w:val="0047221F"/>
    <w:rsid w:val="00472BB5"/>
    <w:rsid w:val="0047574C"/>
    <w:rsid w:val="004772A8"/>
    <w:rsid w:val="0047756F"/>
    <w:rsid w:val="00477FD2"/>
    <w:rsid w:val="004838F6"/>
    <w:rsid w:val="004845BE"/>
    <w:rsid w:val="00484901"/>
    <w:rsid w:val="00485490"/>
    <w:rsid w:val="0048625A"/>
    <w:rsid w:val="00487CB6"/>
    <w:rsid w:val="00490837"/>
    <w:rsid w:val="00491073"/>
    <w:rsid w:val="00492BB8"/>
    <w:rsid w:val="00495DA0"/>
    <w:rsid w:val="00496C76"/>
    <w:rsid w:val="004A084A"/>
    <w:rsid w:val="004A1A02"/>
    <w:rsid w:val="004A2999"/>
    <w:rsid w:val="004A3A02"/>
    <w:rsid w:val="004A3E0F"/>
    <w:rsid w:val="004A54C0"/>
    <w:rsid w:val="004A653C"/>
    <w:rsid w:val="004A6DDE"/>
    <w:rsid w:val="004A7029"/>
    <w:rsid w:val="004A7BFD"/>
    <w:rsid w:val="004B015D"/>
    <w:rsid w:val="004B04C1"/>
    <w:rsid w:val="004B13F5"/>
    <w:rsid w:val="004B2A81"/>
    <w:rsid w:val="004B3C2D"/>
    <w:rsid w:val="004B6F3E"/>
    <w:rsid w:val="004C2B68"/>
    <w:rsid w:val="004C4B9D"/>
    <w:rsid w:val="004C5044"/>
    <w:rsid w:val="004C5DA3"/>
    <w:rsid w:val="004C74F5"/>
    <w:rsid w:val="004D0BA2"/>
    <w:rsid w:val="004D1EAC"/>
    <w:rsid w:val="004D4B33"/>
    <w:rsid w:val="004D6C2F"/>
    <w:rsid w:val="004D7609"/>
    <w:rsid w:val="004D7B16"/>
    <w:rsid w:val="004E0A0A"/>
    <w:rsid w:val="004E0EC4"/>
    <w:rsid w:val="004E102B"/>
    <w:rsid w:val="004E14A6"/>
    <w:rsid w:val="004E2F26"/>
    <w:rsid w:val="004E32A3"/>
    <w:rsid w:val="004E33E9"/>
    <w:rsid w:val="004E4CD3"/>
    <w:rsid w:val="004E7339"/>
    <w:rsid w:val="004E7C76"/>
    <w:rsid w:val="004F15DB"/>
    <w:rsid w:val="004F1F64"/>
    <w:rsid w:val="004F293E"/>
    <w:rsid w:val="004F2CF9"/>
    <w:rsid w:val="004F2D51"/>
    <w:rsid w:val="004F301E"/>
    <w:rsid w:val="004F3A5C"/>
    <w:rsid w:val="004F418E"/>
    <w:rsid w:val="004F50E4"/>
    <w:rsid w:val="004F74FB"/>
    <w:rsid w:val="004F7E2B"/>
    <w:rsid w:val="005020C8"/>
    <w:rsid w:val="00503C8D"/>
    <w:rsid w:val="00504382"/>
    <w:rsid w:val="00504555"/>
    <w:rsid w:val="00504EFD"/>
    <w:rsid w:val="005054B6"/>
    <w:rsid w:val="00514219"/>
    <w:rsid w:val="00514ABF"/>
    <w:rsid w:val="00515CDA"/>
    <w:rsid w:val="00516F27"/>
    <w:rsid w:val="0052012E"/>
    <w:rsid w:val="00520955"/>
    <w:rsid w:val="00523188"/>
    <w:rsid w:val="00524591"/>
    <w:rsid w:val="0052753F"/>
    <w:rsid w:val="00527734"/>
    <w:rsid w:val="005302C4"/>
    <w:rsid w:val="00530563"/>
    <w:rsid w:val="00530A32"/>
    <w:rsid w:val="00533234"/>
    <w:rsid w:val="00533FF6"/>
    <w:rsid w:val="00534F01"/>
    <w:rsid w:val="00535D10"/>
    <w:rsid w:val="00536009"/>
    <w:rsid w:val="00536593"/>
    <w:rsid w:val="005366FD"/>
    <w:rsid w:val="00537075"/>
    <w:rsid w:val="00537CE7"/>
    <w:rsid w:val="0054228B"/>
    <w:rsid w:val="0054334E"/>
    <w:rsid w:val="00543B5D"/>
    <w:rsid w:val="00544CC4"/>
    <w:rsid w:val="005465C7"/>
    <w:rsid w:val="0055015C"/>
    <w:rsid w:val="00550597"/>
    <w:rsid w:val="00550960"/>
    <w:rsid w:val="00551968"/>
    <w:rsid w:val="00552957"/>
    <w:rsid w:val="00552E4F"/>
    <w:rsid w:val="00553504"/>
    <w:rsid w:val="00553881"/>
    <w:rsid w:val="0055631E"/>
    <w:rsid w:val="00556EF4"/>
    <w:rsid w:val="00560640"/>
    <w:rsid w:val="00560BE1"/>
    <w:rsid w:val="00560D50"/>
    <w:rsid w:val="00561C3D"/>
    <w:rsid w:val="005643E8"/>
    <w:rsid w:val="00565F83"/>
    <w:rsid w:val="00566B40"/>
    <w:rsid w:val="00567070"/>
    <w:rsid w:val="005674AD"/>
    <w:rsid w:val="00567FBA"/>
    <w:rsid w:val="00573171"/>
    <w:rsid w:val="00574DAC"/>
    <w:rsid w:val="00575467"/>
    <w:rsid w:val="00575BFA"/>
    <w:rsid w:val="00577D14"/>
    <w:rsid w:val="005811F7"/>
    <w:rsid w:val="0058211A"/>
    <w:rsid w:val="00582A5F"/>
    <w:rsid w:val="005834EB"/>
    <w:rsid w:val="00586860"/>
    <w:rsid w:val="00586ADD"/>
    <w:rsid w:val="00587382"/>
    <w:rsid w:val="005912DE"/>
    <w:rsid w:val="0059278D"/>
    <w:rsid w:val="00593023"/>
    <w:rsid w:val="005945B7"/>
    <w:rsid w:val="00595301"/>
    <w:rsid w:val="00595C12"/>
    <w:rsid w:val="005961CA"/>
    <w:rsid w:val="005969E9"/>
    <w:rsid w:val="005A204D"/>
    <w:rsid w:val="005A2061"/>
    <w:rsid w:val="005A30E0"/>
    <w:rsid w:val="005A409F"/>
    <w:rsid w:val="005A4C00"/>
    <w:rsid w:val="005A6EEC"/>
    <w:rsid w:val="005A6F82"/>
    <w:rsid w:val="005A7104"/>
    <w:rsid w:val="005A7ADD"/>
    <w:rsid w:val="005B0105"/>
    <w:rsid w:val="005B0B76"/>
    <w:rsid w:val="005B19E4"/>
    <w:rsid w:val="005B38B3"/>
    <w:rsid w:val="005B41A3"/>
    <w:rsid w:val="005B4687"/>
    <w:rsid w:val="005B619A"/>
    <w:rsid w:val="005B7042"/>
    <w:rsid w:val="005C2F97"/>
    <w:rsid w:val="005C35E6"/>
    <w:rsid w:val="005C4254"/>
    <w:rsid w:val="005C4D81"/>
    <w:rsid w:val="005C54E4"/>
    <w:rsid w:val="005C5D8D"/>
    <w:rsid w:val="005C5EC3"/>
    <w:rsid w:val="005C7517"/>
    <w:rsid w:val="005D0BAB"/>
    <w:rsid w:val="005D1782"/>
    <w:rsid w:val="005D1E9B"/>
    <w:rsid w:val="005D20F9"/>
    <w:rsid w:val="005D214F"/>
    <w:rsid w:val="005D355E"/>
    <w:rsid w:val="005D4191"/>
    <w:rsid w:val="005D469C"/>
    <w:rsid w:val="005D4F0C"/>
    <w:rsid w:val="005D53DA"/>
    <w:rsid w:val="005D6C8F"/>
    <w:rsid w:val="005E0670"/>
    <w:rsid w:val="005E13FE"/>
    <w:rsid w:val="005E196F"/>
    <w:rsid w:val="005E254D"/>
    <w:rsid w:val="005E3116"/>
    <w:rsid w:val="005E3403"/>
    <w:rsid w:val="005E433A"/>
    <w:rsid w:val="005E456C"/>
    <w:rsid w:val="005E4B2E"/>
    <w:rsid w:val="005E6660"/>
    <w:rsid w:val="005E6F1E"/>
    <w:rsid w:val="005E7E5D"/>
    <w:rsid w:val="005F08E3"/>
    <w:rsid w:val="005F0947"/>
    <w:rsid w:val="005F1A77"/>
    <w:rsid w:val="005F334E"/>
    <w:rsid w:val="005F3772"/>
    <w:rsid w:val="005F37AE"/>
    <w:rsid w:val="005F48B2"/>
    <w:rsid w:val="005F49B3"/>
    <w:rsid w:val="006001C6"/>
    <w:rsid w:val="00600816"/>
    <w:rsid w:val="006035BF"/>
    <w:rsid w:val="00605AFD"/>
    <w:rsid w:val="00606CFA"/>
    <w:rsid w:val="00612E85"/>
    <w:rsid w:val="006151B8"/>
    <w:rsid w:val="006154B6"/>
    <w:rsid w:val="00615534"/>
    <w:rsid w:val="00615827"/>
    <w:rsid w:val="00615AF4"/>
    <w:rsid w:val="00616472"/>
    <w:rsid w:val="0062014B"/>
    <w:rsid w:val="006213E9"/>
    <w:rsid w:val="00621DC5"/>
    <w:rsid w:val="006257EE"/>
    <w:rsid w:val="00626042"/>
    <w:rsid w:val="006267F9"/>
    <w:rsid w:val="0063058D"/>
    <w:rsid w:val="0063486B"/>
    <w:rsid w:val="006349EE"/>
    <w:rsid w:val="00635708"/>
    <w:rsid w:val="006358E3"/>
    <w:rsid w:val="00635F91"/>
    <w:rsid w:val="00636412"/>
    <w:rsid w:val="00636725"/>
    <w:rsid w:val="00636B6D"/>
    <w:rsid w:val="00637AA8"/>
    <w:rsid w:val="00640CC6"/>
    <w:rsid w:val="0064123E"/>
    <w:rsid w:val="006452F7"/>
    <w:rsid w:val="006454AA"/>
    <w:rsid w:val="00645635"/>
    <w:rsid w:val="00646173"/>
    <w:rsid w:val="006464F0"/>
    <w:rsid w:val="00646555"/>
    <w:rsid w:val="00652B3A"/>
    <w:rsid w:val="00652BAD"/>
    <w:rsid w:val="00655020"/>
    <w:rsid w:val="006552BB"/>
    <w:rsid w:val="00655655"/>
    <w:rsid w:val="00655FBC"/>
    <w:rsid w:val="00656160"/>
    <w:rsid w:val="00657C93"/>
    <w:rsid w:val="0066218A"/>
    <w:rsid w:val="006623F4"/>
    <w:rsid w:val="00662E5D"/>
    <w:rsid w:val="006665E4"/>
    <w:rsid w:val="00667A78"/>
    <w:rsid w:val="00671B4E"/>
    <w:rsid w:val="00673A53"/>
    <w:rsid w:val="00674120"/>
    <w:rsid w:val="006742BC"/>
    <w:rsid w:val="00674870"/>
    <w:rsid w:val="00674CD4"/>
    <w:rsid w:val="00677648"/>
    <w:rsid w:val="006777C5"/>
    <w:rsid w:val="006779A8"/>
    <w:rsid w:val="00681325"/>
    <w:rsid w:val="00684C2C"/>
    <w:rsid w:val="00685F1C"/>
    <w:rsid w:val="006872AD"/>
    <w:rsid w:val="00687BF1"/>
    <w:rsid w:val="0069090E"/>
    <w:rsid w:val="0069175B"/>
    <w:rsid w:val="006939D8"/>
    <w:rsid w:val="00694DC9"/>
    <w:rsid w:val="00696EC1"/>
    <w:rsid w:val="006976DA"/>
    <w:rsid w:val="006A0417"/>
    <w:rsid w:val="006A3446"/>
    <w:rsid w:val="006A3F20"/>
    <w:rsid w:val="006A57DD"/>
    <w:rsid w:val="006A6682"/>
    <w:rsid w:val="006A7D5A"/>
    <w:rsid w:val="006B0AE4"/>
    <w:rsid w:val="006B273F"/>
    <w:rsid w:val="006B2E71"/>
    <w:rsid w:val="006B3405"/>
    <w:rsid w:val="006B3E51"/>
    <w:rsid w:val="006B444A"/>
    <w:rsid w:val="006B4D7E"/>
    <w:rsid w:val="006B5820"/>
    <w:rsid w:val="006B5C88"/>
    <w:rsid w:val="006B7456"/>
    <w:rsid w:val="006C1EDD"/>
    <w:rsid w:val="006C3064"/>
    <w:rsid w:val="006C4700"/>
    <w:rsid w:val="006C47AA"/>
    <w:rsid w:val="006C5935"/>
    <w:rsid w:val="006C624F"/>
    <w:rsid w:val="006D01C3"/>
    <w:rsid w:val="006D0327"/>
    <w:rsid w:val="006D2872"/>
    <w:rsid w:val="006D5316"/>
    <w:rsid w:val="006D5BBA"/>
    <w:rsid w:val="006D6FA1"/>
    <w:rsid w:val="006D6FCB"/>
    <w:rsid w:val="006E0D36"/>
    <w:rsid w:val="006E2446"/>
    <w:rsid w:val="006E2AB1"/>
    <w:rsid w:val="006E4BA9"/>
    <w:rsid w:val="006E6243"/>
    <w:rsid w:val="006F0438"/>
    <w:rsid w:val="006F0E0B"/>
    <w:rsid w:val="006F1FF7"/>
    <w:rsid w:val="006F49EF"/>
    <w:rsid w:val="006F4D7E"/>
    <w:rsid w:val="006F5200"/>
    <w:rsid w:val="006F62C3"/>
    <w:rsid w:val="006F635C"/>
    <w:rsid w:val="006F77F9"/>
    <w:rsid w:val="0070144C"/>
    <w:rsid w:val="00701526"/>
    <w:rsid w:val="00705E52"/>
    <w:rsid w:val="0070685A"/>
    <w:rsid w:val="00711F95"/>
    <w:rsid w:val="00712706"/>
    <w:rsid w:val="00715485"/>
    <w:rsid w:val="00715BB7"/>
    <w:rsid w:val="00715DD9"/>
    <w:rsid w:val="00716209"/>
    <w:rsid w:val="007170A1"/>
    <w:rsid w:val="0071761E"/>
    <w:rsid w:val="0072048B"/>
    <w:rsid w:val="00722034"/>
    <w:rsid w:val="00723760"/>
    <w:rsid w:val="00725604"/>
    <w:rsid w:val="0072603B"/>
    <w:rsid w:val="007275BC"/>
    <w:rsid w:val="00727F57"/>
    <w:rsid w:val="007323C5"/>
    <w:rsid w:val="00732E54"/>
    <w:rsid w:val="00732FDD"/>
    <w:rsid w:val="00733014"/>
    <w:rsid w:val="00733950"/>
    <w:rsid w:val="0073447B"/>
    <w:rsid w:val="007355FE"/>
    <w:rsid w:val="00736770"/>
    <w:rsid w:val="007369BB"/>
    <w:rsid w:val="007370A6"/>
    <w:rsid w:val="0074220B"/>
    <w:rsid w:val="00742494"/>
    <w:rsid w:val="00743013"/>
    <w:rsid w:val="00743971"/>
    <w:rsid w:val="0074405E"/>
    <w:rsid w:val="00745034"/>
    <w:rsid w:val="00751D8C"/>
    <w:rsid w:val="00752D70"/>
    <w:rsid w:val="00753C9F"/>
    <w:rsid w:val="00754DA1"/>
    <w:rsid w:val="00755760"/>
    <w:rsid w:val="007561C1"/>
    <w:rsid w:val="00756282"/>
    <w:rsid w:val="007563E9"/>
    <w:rsid w:val="007565E9"/>
    <w:rsid w:val="0075694E"/>
    <w:rsid w:val="00756BD4"/>
    <w:rsid w:val="0075791C"/>
    <w:rsid w:val="00761846"/>
    <w:rsid w:val="00762BB5"/>
    <w:rsid w:val="00762E6B"/>
    <w:rsid w:val="00765518"/>
    <w:rsid w:val="007719B5"/>
    <w:rsid w:val="00772002"/>
    <w:rsid w:val="00772443"/>
    <w:rsid w:val="00773907"/>
    <w:rsid w:val="0077558A"/>
    <w:rsid w:val="00776291"/>
    <w:rsid w:val="00777F51"/>
    <w:rsid w:val="0078145B"/>
    <w:rsid w:val="007821BD"/>
    <w:rsid w:val="00782A46"/>
    <w:rsid w:val="00783D30"/>
    <w:rsid w:val="00785A78"/>
    <w:rsid w:val="00785D91"/>
    <w:rsid w:val="00787797"/>
    <w:rsid w:val="00787FC5"/>
    <w:rsid w:val="0079021B"/>
    <w:rsid w:val="0079021C"/>
    <w:rsid w:val="00790AAC"/>
    <w:rsid w:val="007933A4"/>
    <w:rsid w:val="007952F2"/>
    <w:rsid w:val="007955DA"/>
    <w:rsid w:val="00795B05"/>
    <w:rsid w:val="007A25F6"/>
    <w:rsid w:val="007A2F28"/>
    <w:rsid w:val="007A5082"/>
    <w:rsid w:val="007A50B7"/>
    <w:rsid w:val="007A55A5"/>
    <w:rsid w:val="007A5F86"/>
    <w:rsid w:val="007A667C"/>
    <w:rsid w:val="007A6800"/>
    <w:rsid w:val="007A780D"/>
    <w:rsid w:val="007A7F1B"/>
    <w:rsid w:val="007B0503"/>
    <w:rsid w:val="007B0E8F"/>
    <w:rsid w:val="007B143F"/>
    <w:rsid w:val="007B6242"/>
    <w:rsid w:val="007B793E"/>
    <w:rsid w:val="007C242A"/>
    <w:rsid w:val="007C2C70"/>
    <w:rsid w:val="007C393A"/>
    <w:rsid w:val="007C4860"/>
    <w:rsid w:val="007C7F26"/>
    <w:rsid w:val="007C7F99"/>
    <w:rsid w:val="007D06B7"/>
    <w:rsid w:val="007D3177"/>
    <w:rsid w:val="007D3711"/>
    <w:rsid w:val="007D4C17"/>
    <w:rsid w:val="007D4E6F"/>
    <w:rsid w:val="007D5767"/>
    <w:rsid w:val="007D66A3"/>
    <w:rsid w:val="007D70DA"/>
    <w:rsid w:val="007D7FB8"/>
    <w:rsid w:val="007E0741"/>
    <w:rsid w:val="007E0A24"/>
    <w:rsid w:val="007E2D11"/>
    <w:rsid w:val="007E354E"/>
    <w:rsid w:val="007E3D19"/>
    <w:rsid w:val="007E52A5"/>
    <w:rsid w:val="007E5BCA"/>
    <w:rsid w:val="007E5E03"/>
    <w:rsid w:val="007E69C2"/>
    <w:rsid w:val="007E7206"/>
    <w:rsid w:val="007F1DAC"/>
    <w:rsid w:val="007F4BA8"/>
    <w:rsid w:val="007F4DDE"/>
    <w:rsid w:val="007F55D4"/>
    <w:rsid w:val="007F62D1"/>
    <w:rsid w:val="007F68A6"/>
    <w:rsid w:val="00800D96"/>
    <w:rsid w:val="0080323B"/>
    <w:rsid w:val="00803971"/>
    <w:rsid w:val="008039FC"/>
    <w:rsid w:val="008064F3"/>
    <w:rsid w:val="0081202C"/>
    <w:rsid w:val="008127B2"/>
    <w:rsid w:val="00816054"/>
    <w:rsid w:val="008179C6"/>
    <w:rsid w:val="00817CB9"/>
    <w:rsid w:val="00820F67"/>
    <w:rsid w:val="0082186E"/>
    <w:rsid w:val="00821F96"/>
    <w:rsid w:val="00822E3F"/>
    <w:rsid w:val="0082396B"/>
    <w:rsid w:val="00823F57"/>
    <w:rsid w:val="008252F0"/>
    <w:rsid w:val="008255CC"/>
    <w:rsid w:val="00825D61"/>
    <w:rsid w:val="00826B17"/>
    <w:rsid w:val="00826E97"/>
    <w:rsid w:val="00827ACA"/>
    <w:rsid w:val="00830653"/>
    <w:rsid w:val="00832352"/>
    <w:rsid w:val="00832753"/>
    <w:rsid w:val="00833CBF"/>
    <w:rsid w:val="00833E78"/>
    <w:rsid w:val="00835CCA"/>
    <w:rsid w:val="0083786A"/>
    <w:rsid w:val="008438F0"/>
    <w:rsid w:val="00843BB9"/>
    <w:rsid w:val="00844187"/>
    <w:rsid w:val="0084463F"/>
    <w:rsid w:val="00844972"/>
    <w:rsid w:val="008462D1"/>
    <w:rsid w:val="00846579"/>
    <w:rsid w:val="00846D50"/>
    <w:rsid w:val="00847E17"/>
    <w:rsid w:val="00847F52"/>
    <w:rsid w:val="0085097B"/>
    <w:rsid w:val="00850C8A"/>
    <w:rsid w:val="00851002"/>
    <w:rsid w:val="00851F31"/>
    <w:rsid w:val="00853260"/>
    <w:rsid w:val="008532F6"/>
    <w:rsid w:val="00853E85"/>
    <w:rsid w:val="00855860"/>
    <w:rsid w:val="00860CD6"/>
    <w:rsid w:val="00861BDA"/>
    <w:rsid w:val="00862B4C"/>
    <w:rsid w:val="00864A9E"/>
    <w:rsid w:val="00864ECB"/>
    <w:rsid w:val="0086596C"/>
    <w:rsid w:val="00865B05"/>
    <w:rsid w:val="00865EC3"/>
    <w:rsid w:val="00870145"/>
    <w:rsid w:val="00871703"/>
    <w:rsid w:val="00873D29"/>
    <w:rsid w:val="00874001"/>
    <w:rsid w:val="00875386"/>
    <w:rsid w:val="00876556"/>
    <w:rsid w:val="00876E46"/>
    <w:rsid w:val="0087772C"/>
    <w:rsid w:val="00880EC1"/>
    <w:rsid w:val="0088191D"/>
    <w:rsid w:val="008927EA"/>
    <w:rsid w:val="00893E0E"/>
    <w:rsid w:val="00894DA9"/>
    <w:rsid w:val="00894DAD"/>
    <w:rsid w:val="008956F1"/>
    <w:rsid w:val="00896DE5"/>
    <w:rsid w:val="00897547"/>
    <w:rsid w:val="00897975"/>
    <w:rsid w:val="008A293D"/>
    <w:rsid w:val="008A3C9F"/>
    <w:rsid w:val="008A3D45"/>
    <w:rsid w:val="008A4077"/>
    <w:rsid w:val="008A6B6B"/>
    <w:rsid w:val="008A7BD8"/>
    <w:rsid w:val="008B0017"/>
    <w:rsid w:val="008B0458"/>
    <w:rsid w:val="008B0529"/>
    <w:rsid w:val="008B0668"/>
    <w:rsid w:val="008B1AC6"/>
    <w:rsid w:val="008B283D"/>
    <w:rsid w:val="008B544B"/>
    <w:rsid w:val="008B5A64"/>
    <w:rsid w:val="008B6872"/>
    <w:rsid w:val="008C0627"/>
    <w:rsid w:val="008C0B92"/>
    <w:rsid w:val="008C0E5C"/>
    <w:rsid w:val="008C1A8F"/>
    <w:rsid w:val="008C2A9B"/>
    <w:rsid w:val="008C3789"/>
    <w:rsid w:val="008C3D5E"/>
    <w:rsid w:val="008C3F54"/>
    <w:rsid w:val="008C4F9B"/>
    <w:rsid w:val="008C7D42"/>
    <w:rsid w:val="008D0A69"/>
    <w:rsid w:val="008D1D59"/>
    <w:rsid w:val="008D3307"/>
    <w:rsid w:val="008D34DD"/>
    <w:rsid w:val="008D3D6F"/>
    <w:rsid w:val="008D3DC0"/>
    <w:rsid w:val="008D5CA0"/>
    <w:rsid w:val="008D6534"/>
    <w:rsid w:val="008D7B6E"/>
    <w:rsid w:val="008E2F7B"/>
    <w:rsid w:val="008E3F20"/>
    <w:rsid w:val="008E4079"/>
    <w:rsid w:val="008E4173"/>
    <w:rsid w:val="008E4FCA"/>
    <w:rsid w:val="008E5702"/>
    <w:rsid w:val="008E5F0D"/>
    <w:rsid w:val="008E68DC"/>
    <w:rsid w:val="008E6A25"/>
    <w:rsid w:val="008E7C88"/>
    <w:rsid w:val="008F0652"/>
    <w:rsid w:val="008F4385"/>
    <w:rsid w:val="008F496C"/>
    <w:rsid w:val="008F6009"/>
    <w:rsid w:val="008F612B"/>
    <w:rsid w:val="008F6F10"/>
    <w:rsid w:val="008F77FC"/>
    <w:rsid w:val="00900248"/>
    <w:rsid w:val="00901A95"/>
    <w:rsid w:val="009022BF"/>
    <w:rsid w:val="0090389F"/>
    <w:rsid w:val="00903FF8"/>
    <w:rsid w:val="00910AF3"/>
    <w:rsid w:val="00911DFF"/>
    <w:rsid w:val="0091475C"/>
    <w:rsid w:val="00915D44"/>
    <w:rsid w:val="00916874"/>
    <w:rsid w:val="009170E4"/>
    <w:rsid w:val="00917D7C"/>
    <w:rsid w:val="00920E62"/>
    <w:rsid w:val="00921DF2"/>
    <w:rsid w:val="0092227C"/>
    <w:rsid w:val="009234E7"/>
    <w:rsid w:val="00923632"/>
    <w:rsid w:val="00923642"/>
    <w:rsid w:val="00925304"/>
    <w:rsid w:val="0092639D"/>
    <w:rsid w:val="00930FF7"/>
    <w:rsid w:val="0093174A"/>
    <w:rsid w:val="009333E7"/>
    <w:rsid w:val="00935157"/>
    <w:rsid w:val="00942794"/>
    <w:rsid w:val="009429AC"/>
    <w:rsid w:val="009430F6"/>
    <w:rsid w:val="00943697"/>
    <w:rsid w:val="00945129"/>
    <w:rsid w:val="00951C95"/>
    <w:rsid w:val="00951CFB"/>
    <w:rsid w:val="00952825"/>
    <w:rsid w:val="00954E8F"/>
    <w:rsid w:val="00956B51"/>
    <w:rsid w:val="00960C96"/>
    <w:rsid w:val="00962533"/>
    <w:rsid w:val="00962A5C"/>
    <w:rsid w:val="00964844"/>
    <w:rsid w:val="00964BF3"/>
    <w:rsid w:val="0096519E"/>
    <w:rsid w:val="00972F5B"/>
    <w:rsid w:val="0097403C"/>
    <w:rsid w:val="0097481D"/>
    <w:rsid w:val="009754A8"/>
    <w:rsid w:val="0097681C"/>
    <w:rsid w:val="009768F1"/>
    <w:rsid w:val="0097716C"/>
    <w:rsid w:val="00977FDF"/>
    <w:rsid w:val="00980748"/>
    <w:rsid w:val="00983681"/>
    <w:rsid w:val="00984F45"/>
    <w:rsid w:val="009856E8"/>
    <w:rsid w:val="00987079"/>
    <w:rsid w:val="00987A2F"/>
    <w:rsid w:val="00987C48"/>
    <w:rsid w:val="00990152"/>
    <w:rsid w:val="00994157"/>
    <w:rsid w:val="00997878"/>
    <w:rsid w:val="009A16C1"/>
    <w:rsid w:val="009A1EA4"/>
    <w:rsid w:val="009A2062"/>
    <w:rsid w:val="009A326F"/>
    <w:rsid w:val="009A328A"/>
    <w:rsid w:val="009A41B7"/>
    <w:rsid w:val="009A46EB"/>
    <w:rsid w:val="009A6E3E"/>
    <w:rsid w:val="009A71A1"/>
    <w:rsid w:val="009A72C8"/>
    <w:rsid w:val="009A74D8"/>
    <w:rsid w:val="009A7C0F"/>
    <w:rsid w:val="009A7E9D"/>
    <w:rsid w:val="009B06A5"/>
    <w:rsid w:val="009B29AC"/>
    <w:rsid w:val="009B3D36"/>
    <w:rsid w:val="009B4CCD"/>
    <w:rsid w:val="009B6FB6"/>
    <w:rsid w:val="009C06FE"/>
    <w:rsid w:val="009C0EC6"/>
    <w:rsid w:val="009C24C8"/>
    <w:rsid w:val="009C2849"/>
    <w:rsid w:val="009D10AD"/>
    <w:rsid w:val="009D1598"/>
    <w:rsid w:val="009D197E"/>
    <w:rsid w:val="009D5FD8"/>
    <w:rsid w:val="009D616A"/>
    <w:rsid w:val="009D7864"/>
    <w:rsid w:val="009E234F"/>
    <w:rsid w:val="009E480C"/>
    <w:rsid w:val="009E5FE3"/>
    <w:rsid w:val="009E68F9"/>
    <w:rsid w:val="009F0051"/>
    <w:rsid w:val="009F00D6"/>
    <w:rsid w:val="009F075D"/>
    <w:rsid w:val="009F0F20"/>
    <w:rsid w:val="009F2DB4"/>
    <w:rsid w:val="009F2F69"/>
    <w:rsid w:val="009F31EE"/>
    <w:rsid w:val="009F33CE"/>
    <w:rsid w:val="009F4015"/>
    <w:rsid w:val="009F42E7"/>
    <w:rsid w:val="009F4759"/>
    <w:rsid w:val="009F5464"/>
    <w:rsid w:val="009F556A"/>
    <w:rsid w:val="009F5C6E"/>
    <w:rsid w:val="00A0077E"/>
    <w:rsid w:val="00A00F4C"/>
    <w:rsid w:val="00A01C45"/>
    <w:rsid w:val="00A05898"/>
    <w:rsid w:val="00A073BC"/>
    <w:rsid w:val="00A07D40"/>
    <w:rsid w:val="00A117DB"/>
    <w:rsid w:val="00A15337"/>
    <w:rsid w:val="00A16185"/>
    <w:rsid w:val="00A16E45"/>
    <w:rsid w:val="00A20991"/>
    <w:rsid w:val="00A23986"/>
    <w:rsid w:val="00A26918"/>
    <w:rsid w:val="00A27690"/>
    <w:rsid w:val="00A27A68"/>
    <w:rsid w:val="00A27D74"/>
    <w:rsid w:val="00A325D9"/>
    <w:rsid w:val="00A33CFA"/>
    <w:rsid w:val="00A350A6"/>
    <w:rsid w:val="00A35668"/>
    <w:rsid w:val="00A3616A"/>
    <w:rsid w:val="00A37389"/>
    <w:rsid w:val="00A378B3"/>
    <w:rsid w:val="00A40535"/>
    <w:rsid w:val="00A40862"/>
    <w:rsid w:val="00A43022"/>
    <w:rsid w:val="00A43307"/>
    <w:rsid w:val="00A45775"/>
    <w:rsid w:val="00A460C7"/>
    <w:rsid w:val="00A465BB"/>
    <w:rsid w:val="00A468E9"/>
    <w:rsid w:val="00A528E4"/>
    <w:rsid w:val="00A5310C"/>
    <w:rsid w:val="00A5447F"/>
    <w:rsid w:val="00A54F19"/>
    <w:rsid w:val="00A5564F"/>
    <w:rsid w:val="00A55CAA"/>
    <w:rsid w:val="00A55CB5"/>
    <w:rsid w:val="00A56295"/>
    <w:rsid w:val="00A572D7"/>
    <w:rsid w:val="00A573B5"/>
    <w:rsid w:val="00A60A4D"/>
    <w:rsid w:val="00A61A3D"/>
    <w:rsid w:val="00A6294F"/>
    <w:rsid w:val="00A65673"/>
    <w:rsid w:val="00A657DB"/>
    <w:rsid w:val="00A65BB8"/>
    <w:rsid w:val="00A66697"/>
    <w:rsid w:val="00A66A3A"/>
    <w:rsid w:val="00A6724F"/>
    <w:rsid w:val="00A7049A"/>
    <w:rsid w:val="00A70C66"/>
    <w:rsid w:val="00A72E75"/>
    <w:rsid w:val="00A7625D"/>
    <w:rsid w:val="00A76C22"/>
    <w:rsid w:val="00A803E4"/>
    <w:rsid w:val="00A8173B"/>
    <w:rsid w:val="00A82C77"/>
    <w:rsid w:val="00A84F22"/>
    <w:rsid w:val="00A86BEE"/>
    <w:rsid w:val="00A9046C"/>
    <w:rsid w:val="00A92F18"/>
    <w:rsid w:val="00A93FFF"/>
    <w:rsid w:val="00A952D9"/>
    <w:rsid w:val="00A9617A"/>
    <w:rsid w:val="00A97234"/>
    <w:rsid w:val="00AA01AF"/>
    <w:rsid w:val="00AA6996"/>
    <w:rsid w:val="00AA7093"/>
    <w:rsid w:val="00AB0B75"/>
    <w:rsid w:val="00AB237F"/>
    <w:rsid w:val="00AB2D39"/>
    <w:rsid w:val="00AB2E9C"/>
    <w:rsid w:val="00AB4913"/>
    <w:rsid w:val="00AB7A36"/>
    <w:rsid w:val="00AB7B6F"/>
    <w:rsid w:val="00AC06BC"/>
    <w:rsid w:val="00AC074C"/>
    <w:rsid w:val="00AC0DC0"/>
    <w:rsid w:val="00AC1380"/>
    <w:rsid w:val="00AC23A9"/>
    <w:rsid w:val="00AC78A2"/>
    <w:rsid w:val="00AD371C"/>
    <w:rsid w:val="00AD7075"/>
    <w:rsid w:val="00AE3FCE"/>
    <w:rsid w:val="00AE61AC"/>
    <w:rsid w:val="00AE6731"/>
    <w:rsid w:val="00AE7C45"/>
    <w:rsid w:val="00AF0D06"/>
    <w:rsid w:val="00AF0E99"/>
    <w:rsid w:val="00AF2070"/>
    <w:rsid w:val="00AF299F"/>
    <w:rsid w:val="00AF40BF"/>
    <w:rsid w:val="00AF4A7F"/>
    <w:rsid w:val="00AF4B56"/>
    <w:rsid w:val="00AF6B05"/>
    <w:rsid w:val="00AF6FF1"/>
    <w:rsid w:val="00AF7835"/>
    <w:rsid w:val="00AF7F4F"/>
    <w:rsid w:val="00B00E29"/>
    <w:rsid w:val="00B02A2A"/>
    <w:rsid w:val="00B04E8A"/>
    <w:rsid w:val="00B054F4"/>
    <w:rsid w:val="00B06953"/>
    <w:rsid w:val="00B06B68"/>
    <w:rsid w:val="00B1003E"/>
    <w:rsid w:val="00B10586"/>
    <w:rsid w:val="00B10685"/>
    <w:rsid w:val="00B10D6C"/>
    <w:rsid w:val="00B10FED"/>
    <w:rsid w:val="00B13C02"/>
    <w:rsid w:val="00B15A40"/>
    <w:rsid w:val="00B1712C"/>
    <w:rsid w:val="00B1753D"/>
    <w:rsid w:val="00B17718"/>
    <w:rsid w:val="00B17811"/>
    <w:rsid w:val="00B20B68"/>
    <w:rsid w:val="00B210C7"/>
    <w:rsid w:val="00B22EBB"/>
    <w:rsid w:val="00B24757"/>
    <w:rsid w:val="00B25E90"/>
    <w:rsid w:val="00B26D56"/>
    <w:rsid w:val="00B26D5F"/>
    <w:rsid w:val="00B31539"/>
    <w:rsid w:val="00B31ECB"/>
    <w:rsid w:val="00B325A1"/>
    <w:rsid w:val="00B3296C"/>
    <w:rsid w:val="00B32A53"/>
    <w:rsid w:val="00B32DCD"/>
    <w:rsid w:val="00B34881"/>
    <w:rsid w:val="00B3545D"/>
    <w:rsid w:val="00B3609F"/>
    <w:rsid w:val="00B36800"/>
    <w:rsid w:val="00B37094"/>
    <w:rsid w:val="00B42B40"/>
    <w:rsid w:val="00B43043"/>
    <w:rsid w:val="00B44C75"/>
    <w:rsid w:val="00B4581A"/>
    <w:rsid w:val="00B45CF2"/>
    <w:rsid w:val="00B509AA"/>
    <w:rsid w:val="00B50CB1"/>
    <w:rsid w:val="00B518DC"/>
    <w:rsid w:val="00B51E58"/>
    <w:rsid w:val="00B52B03"/>
    <w:rsid w:val="00B52E56"/>
    <w:rsid w:val="00B53A1D"/>
    <w:rsid w:val="00B54409"/>
    <w:rsid w:val="00B54B40"/>
    <w:rsid w:val="00B5684F"/>
    <w:rsid w:val="00B57832"/>
    <w:rsid w:val="00B608F4"/>
    <w:rsid w:val="00B6210A"/>
    <w:rsid w:val="00B6226F"/>
    <w:rsid w:val="00B625B9"/>
    <w:rsid w:val="00B6261D"/>
    <w:rsid w:val="00B63A1B"/>
    <w:rsid w:val="00B6682C"/>
    <w:rsid w:val="00B67FED"/>
    <w:rsid w:val="00B71C0D"/>
    <w:rsid w:val="00B726FD"/>
    <w:rsid w:val="00B74CAE"/>
    <w:rsid w:val="00B75EFC"/>
    <w:rsid w:val="00B772DE"/>
    <w:rsid w:val="00B77E6E"/>
    <w:rsid w:val="00B829D7"/>
    <w:rsid w:val="00B82B52"/>
    <w:rsid w:val="00B87136"/>
    <w:rsid w:val="00B90728"/>
    <w:rsid w:val="00B9401B"/>
    <w:rsid w:val="00B94135"/>
    <w:rsid w:val="00BA25FB"/>
    <w:rsid w:val="00BA3644"/>
    <w:rsid w:val="00BA3E20"/>
    <w:rsid w:val="00BA43B3"/>
    <w:rsid w:val="00BB038E"/>
    <w:rsid w:val="00BB1EC7"/>
    <w:rsid w:val="00BB1F07"/>
    <w:rsid w:val="00BB339E"/>
    <w:rsid w:val="00BB4A1E"/>
    <w:rsid w:val="00BB5476"/>
    <w:rsid w:val="00BC2B13"/>
    <w:rsid w:val="00BC485A"/>
    <w:rsid w:val="00BC4A4E"/>
    <w:rsid w:val="00BC4B53"/>
    <w:rsid w:val="00BC5DAF"/>
    <w:rsid w:val="00BC763D"/>
    <w:rsid w:val="00BC76A8"/>
    <w:rsid w:val="00BD0314"/>
    <w:rsid w:val="00BD1E64"/>
    <w:rsid w:val="00BD247A"/>
    <w:rsid w:val="00BD399A"/>
    <w:rsid w:val="00BD504B"/>
    <w:rsid w:val="00BD5758"/>
    <w:rsid w:val="00BD5921"/>
    <w:rsid w:val="00BD5986"/>
    <w:rsid w:val="00BD7623"/>
    <w:rsid w:val="00BD78B8"/>
    <w:rsid w:val="00BE0935"/>
    <w:rsid w:val="00BE11CB"/>
    <w:rsid w:val="00BE4BA4"/>
    <w:rsid w:val="00BE5635"/>
    <w:rsid w:val="00BE59F7"/>
    <w:rsid w:val="00BE59FE"/>
    <w:rsid w:val="00BE7B32"/>
    <w:rsid w:val="00BF04B1"/>
    <w:rsid w:val="00BF0842"/>
    <w:rsid w:val="00BF0949"/>
    <w:rsid w:val="00BF29EA"/>
    <w:rsid w:val="00BF42DF"/>
    <w:rsid w:val="00BF5D0D"/>
    <w:rsid w:val="00C002AE"/>
    <w:rsid w:val="00C01AC0"/>
    <w:rsid w:val="00C02552"/>
    <w:rsid w:val="00C0289C"/>
    <w:rsid w:val="00C040B9"/>
    <w:rsid w:val="00C04CFB"/>
    <w:rsid w:val="00C05DBF"/>
    <w:rsid w:val="00C06163"/>
    <w:rsid w:val="00C0620B"/>
    <w:rsid w:val="00C10FBF"/>
    <w:rsid w:val="00C11058"/>
    <w:rsid w:val="00C11B5C"/>
    <w:rsid w:val="00C1442D"/>
    <w:rsid w:val="00C14587"/>
    <w:rsid w:val="00C160C4"/>
    <w:rsid w:val="00C16C60"/>
    <w:rsid w:val="00C16D7C"/>
    <w:rsid w:val="00C17F07"/>
    <w:rsid w:val="00C205BF"/>
    <w:rsid w:val="00C21C5A"/>
    <w:rsid w:val="00C25719"/>
    <w:rsid w:val="00C271EB"/>
    <w:rsid w:val="00C27A61"/>
    <w:rsid w:val="00C27FE7"/>
    <w:rsid w:val="00C306EE"/>
    <w:rsid w:val="00C30E9E"/>
    <w:rsid w:val="00C30FF9"/>
    <w:rsid w:val="00C31D73"/>
    <w:rsid w:val="00C329E2"/>
    <w:rsid w:val="00C32B63"/>
    <w:rsid w:val="00C334A0"/>
    <w:rsid w:val="00C347C7"/>
    <w:rsid w:val="00C34C43"/>
    <w:rsid w:val="00C35C64"/>
    <w:rsid w:val="00C37FFC"/>
    <w:rsid w:val="00C406DE"/>
    <w:rsid w:val="00C41744"/>
    <w:rsid w:val="00C41FDE"/>
    <w:rsid w:val="00C42AE8"/>
    <w:rsid w:val="00C445BE"/>
    <w:rsid w:val="00C45923"/>
    <w:rsid w:val="00C46191"/>
    <w:rsid w:val="00C509EB"/>
    <w:rsid w:val="00C51969"/>
    <w:rsid w:val="00C535AB"/>
    <w:rsid w:val="00C53E6D"/>
    <w:rsid w:val="00C56439"/>
    <w:rsid w:val="00C60D20"/>
    <w:rsid w:val="00C612FD"/>
    <w:rsid w:val="00C619C1"/>
    <w:rsid w:val="00C61B16"/>
    <w:rsid w:val="00C650BE"/>
    <w:rsid w:val="00C650E4"/>
    <w:rsid w:val="00C65D09"/>
    <w:rsid w:val="00C678C2"/>
    <w:rsid w:val="00C713A0"/>
    <w:rsid w:val="00C72C48"/>
    <w:rsid w:val="00C734BE"/>
    <w:rsid w:val="00C73AC4"/>
    <w:rsid w:val="00C75C71"/>
    <w:rsid w:val="00C76D25"/>
    <w:rsid w:val="00C76EF4"/>
    <w:rsid w:val="00C80025"/>
    <w:rsid w:val="00C8072E"/>
    <w:rsid w:val="00C80A00"/>
    <w:rsid w:val="00C83777"/>
    <w:rsid w:val="00C86714"/>
    <w:rsid w:val="00C93175"/>
    <w:rsid w:val="00C954F7"/>
    <w:rsid w:val="00C9564B"/>
    <w:rsid w:val="00C96011"/>
    <w:rsid w:val="00C966B5"/>
    <w:rsid w:val="00C971F3"/>
    <w:rsid w:val="00C9727C"/>
    <w:rsid w:val="00CA2BE1"/>
    <w:rsid w:val="00CA3C89"/>
    <w:rsid w:val="00CA7597"/>
    <w:rsid w:val="00CA7938"/>
    <w:rsid w:val="00CB005F"/>
    <w:rsid w:val="00CB30FB"/>
    <w:rsid w:val="00CB6005"/>
    <w:rsid w:val="00CB70EF"/>
    <w:rsid w:val="00CC005F"/>
    <w:rsid w:val="00CC0B14"/>
    <w:rsid w:val="00CC0BA4"/>
    <w:rsid w:val="00CC0BAA"/>
    <w:rsid w:val="00CC13CB"/>
    <w:rsid w:val="00CC1919"/>
    <w:rsid w:val="00CC191A"/>
    <w:rsid w:val="00CC3B9F"/>
    <w:rsid w:val="00CC3FD4"/>
    <w:rsid w:val="00CC514E"/>
    <w:rsid w:val="00CC54DA"/>
    <w:rsid w:val="00CC6963"/>
    <w:rsid w:val="00CD08F6"/>
    <w:rsid w:val="00CD392B"/>
    <w:rsid w:val="00CD3C69"/>
    <w:rsid w:val="00CD4404"/>
    <w:rsid w:val="00CD5E40"/>
    <w:rsid w:val="00CD730E"/>
    <w:rsid w:val="00CD7CC1"/>
    <w:rsid w:val="00CE10B8"/>
    <w:rsid w:val="00CE115E"/>
    <w:rsid w:val="00CE37C3"/>
    <w:rsid w:val="00CE49F0"/>
    <w:rsid w:val="00CE52E3"/>
    <w:rsid w:val="00CE6DC0"/>
    <w:rsid w:val="00CE796C"/>
    <w:rsid w:val="00CE79AD"/>
    <w:rsid w:val="00CF10E4"/>
    <w:rsid w:val="00CF13A1"/>
    <w:rsid w:val="00CF195E"/>
    <w:rsid w:val="00CF22B5"/>
    <w:rsid w:val="00CF2C96"/>
    <w:rsid w:val="00CF3C74"/>
    <w:rsid w:val="00CF63ED"/>
    <w:rsid w:val="00CF7D03"/>
    <w:rsid w:val="00D00826"/>
    <w:rsid w:val="00D01EEE"/>
    <w:rsid w:val="00D0447B"/>
    <w:rsid w:val="00D1087E"/>
    <w:rsid w:val="00D11DA4"/>
    <w:rsid w:val="00D12BA9"/>
    <w:rsid w:val="00D12CAE"/>
    <w:rsid w:val="00D13642"/>
    <w:rsid w:val="00D13726"/>
    <w:rsid w:val="00D14B12"/>
    <w:rsid w:val="00D17B9F"/>
    <w:rsid w:val="00D21A00"/>
    <w:rsid w:val="00D21F51"/>
    <w:rsid w:val="00D224C7"/>
    <w:rsid w:val="00D22E1F"/>
    <w:rsid w:val="00D231D0"/>
    <w:rsid w:val="00D242E5"/>
    <w:rsid w:val="00D255CB"/>
    <w:rsid w:val="00D263F1"/>
    <w:rsid w:val="00D27080"/>
    <w:rsid w:val="00D33ACE"/>
    <w:rsid w:val="00D348E1"/>
    <w:rsid w:val="00D351C0"/>
    <w:rsid w:val="00D358D3"/>
    <w:rsid w:val="00D35EBF"/>
    <w:rsid w:val="00D35FAB"/>
    <w:rsid w:val="00D36F11"/>
    <w:rsid w:val="00D41044"/>
    <w:rsid w:val="00D43148"/>
    <w:rsid w:val="00D43D83"/>
    <w:rsid w:val="00D45D2E"/>
    <w:rsid w:val="00D46168"/>
    <w:rsid w:val="00D46E20"/>
    <w:rsid w:val="00D47C80"/>
    <w:rsid w:val="00D524CE"/>
    <w:rsid w:val="00D529E4"/>
    <w:rsid w:val="00D52CE5"/>
    <w:rsid w:val="00D54284"/>
    <w:rsid w:val="00D55958"/>
    <w:rsid w:val="00D55EB0"/>
    <w:rsid w:val="00D55F57"/>
    <w:rsid w:val="00D5788E"/>
    <w:rsid w:val="00D57B0B"/>
    <w:rsid w:val="00D60E3B"/>
    <w:rsid w:val="00D617C7"/>
    <w:rsid w:val="00D61EA9"/>
    <w:rsid w:val="00D62F00"/>
    <w:rsid w:val="00D64D47"/>
    <w:rsid w:val="00D64EDC"/>
    <w:rsid w:val="00D66DD8"/>
    <w:rsid w:val="00D66F5B"/>
    <w:rsid w:val="00D70FFB"/>
    <w:rsid w:val="00D71E40"/>
    <w:rsid w:val="00D7331C"/>
    <w:rsid w:val="00D734C1"/>
    <w:rsid w:val="00D73DCD"/>
    <w:rsid w:val="00D769B2"/>
    <w:rsid w:val="00D76E26"/>
    <w:rsid w:val="00D83071"/>
    <w:rsid w:val="00D83F3B"/>
    <w:rsid w:val="00D84747"/>
    <w:rsid w:val="00D929B2"/>
    <w:rsid w:val="00D958B7"/>
    <w:rsid w:val="00D95C5F"/>
    <w:rsid w:val="00D960DE"/>
    <w:rsid w:val="00D9711D"/>
    <w:rsid w:val="00D97D00"/>
    <w:rsid w:val="00D97FE8"/>
    <w:rsid w:val="00DA12F4"/>
    <w:rsid w:val="00DA1F29"/>
    <w:rsid w:val="00DA2811"/>
    <w:rsid w:val="00DA4032"/>
    <w:rsid w:val="00DA4EA5"/>
    <w:rsid w:val="00DA5605"/>
    <w:rsid w:val="00DA68F8"/>
    <w:rsid w:val="00DA6E7C"/>
    <w:rsid w:val="00DA73C2"/>
    <w:rsid w:val="00DA7D88"/>
    <w:rsid w:val="00DB052A"/>
    <w:rsid w:val="00DB139B"/>
    <w:rsid w:val="00DB1C9A"/>
    <w:rsid w:val="00DB1D14"/>
    <w:rsid w:val="00DB57E9"/>
    <w:rsid w:val="00DB64D1"/>
    <w:rsid w:val="00DB66F9"/>
    <w:rsid w:val="00DB7BFA"/>
    <w:rsid w:val="00DC5E63"/>
    <w:rsid w:val="00DC63B0"/>
    <w:rsid w:val="00DC7C75"/>
    <w:rsid w:val="00DC7FF5"/>
    <w:rsid w:val="00DD3367"/>
    <w:rsid w:val="00DD3E8F"/>
    <w:rsid w:val="00DE37B1"/>
    <w:rsid w:val="00DE4137"/>
    <w:rsid w:val="00DE529A"/>
    <w:rsid w:val="00DE60E7"/>
    <w:rsid w:val="00DF1850"/>
    <w:rsid w:val="00DF20C1"/>
    <w:rsid w:val="00DF3062"/>
    <w:rsid w:val="00DF5E3E"/>
    <w:rsid w:val="00DF5E8B"/>
    <w:rsid w:val="00DF6E30"/>
    <w:rsid w:val="00E015CE"/>
    <w:rsid w:val="00E01873"/>
    <w:rsid w:val="00E0215A"/>
    <w:rsid w:val="00E02777"/>
    <w:rsid w:val="00E02D92"/>
    <w:rsid w:val="00E041E1"/>
    <w:rsid w:val="00E06E98"/>
    <w:rsid w:val="00E108DE"/>
    <w:rsid w:val="00E133D8"/>
    <w:rsid w:val="00E13E37"/>
    <w:rsid w:val="00E1412D"/>
    <w:rsid w:val="00E20733"/>
    <w:rsid w:val="00E220D0"/>
    <w:rsid w:val="00E25B78"/>
    <w:rsid w:val="00E2697A"/>
    <w:rsid w:val="00E271E7"/>
    <w:rsid w:val="00E302FE"/>
    <w:rsid w:val="00E304E9"/>
    <w:rsid w:val="00E3099B"/>
    <w:rsid w:val="00E315FA"/>
    <w:rsid w:val="00E35CC7"/>
    <w:rsid w:val="00E36A18"/>
    <w:rsid w:val="00E37A75"/>
    <w:rsid w:val="00E4010A"/>
    <w:rsid w:val="00E40744"/>
    <w:rsid w:val="00E42224"/>
    <w:rsid w:val="00E427D9"/>
    <w:rsid w:val="00E45C32"/>
    <w:rsid w:val="00E50221"/>
    <w:rsid w:val="00E50622"/>
    <w:rsid w:val="00E51427"/>
    <w:rsid w:val="00E554AB"/>
    <w:rsid w:val="00E56306"/>
    <w:rsid w:val="00E56B74"/>
    <w:rsid w:val="00E56CF6"/>
    <w:rsid w:val="00E60177"/>
    <w:rsid w:val="00E6077B"/>
    <w:rsid w:val="00E61111"/>
    <w:rsid w:val="00E65413"/>
    <w:rsid w:val="00E65A92"/>
    <w:rsid w:val="00E66298"/>
    <w:rsid w:val="00E679A5"/>
    <w:rsid w:val="00E67D25"/>
    <w:rsid w:val="00E71F02"/>
    <w:rsid w:val="00E74405"/>
    <w:rsid w:val="00E756DD"/>
    <w:rsid w:val="00E80723"/>
    <w:rsid w:val="00E810AC"/>
    <w:rsid w:val="00E81274"/>
    <w:rsid w:val="00E819F3"/>
    <w:rsid w:val="00E8245E"/>
    <w:rsid w:val="00E824FB"/>
    <w:rsid w:val="00E82C5D"/>
    <w:rsid w:val="00E82D7C"/>
    <w:rsid w:val="00E842ED"/>
    <w:rsid w:val="00E84EE4"/>
    <w:rsid w:val="00E85A86"/>
    <w:rsid w:val="00E86B87"/>
    <w:rsid w:val="00E9004F"/>
    <w:rsid w:val="00E90277"/>
    <w:rsid w:val="00E9283A"/>
    <w:rsid w:val="00E9320B"/>
    <w:rsid w:val="00E9352E"/>
    <w:rsid w:val="00E93E16"/>
    <w:rsid w:val="00E949EF"/>
    <w:rsid w:val="00E95607"/>
    <w:rsid w:val="00E95B69"/>
    <w:rsid w:val="00E97ED0"/>
    <w:rsid w:val="00EA05D9"/>
    <w:rsid w:val="00EA243F"/>
    <w:rsid w:val="00EA38EC"/>
    <w:rsid w:val="00EA4004"/>
    <w:rsid w:val="00EA46EE"/>
    <w:rsid w:val="00EA59CF"/>
    <w:rsid w:val="00EB0654"/>
    <w:rsid w:val="00EB07CF"/>
    <w:rsid w:val="00EB1F65"/>
    <w:rsid w:val="00EB350C"/>
    <w:rsid w:val="00EB44EC"/>
    <w:rsid w:val="00EB4844"/>
    <w:rsid w:val="00EB4B89"/>
    <w:rsid w:val="00EB51D7"/>
    <w:rsid w:val="00EB56C2"/>
    <w:rsid w:val="00EB713F"/>
    <w:rsid w:val="00EB72E8"/>
    <w:rsid w:val="00EB7A7C"/>
    <w:rsid w:val="00EB7E2E"/>
    <w:rsid w:val="00EC2D88"/>
    <w:rsid w:val="00EC32AE"/>
    <w:rsid w:val="00EC4600"/>
    <w:rsid w:val="00EC5730"/>
    <w:rsid w:val="00EC58D5"/>
    <w:rsid w:val="00EC649B"/>
    <w:rsid w:val="00ED04D2"/>
    <w:rsid w:val="00ED19E5"/>
    <w:rsid w:val="00ED3686"/>
    <w:rsid w:val="00ED516B"/>
    <w:rsid w:val="00EE1E93"/>
    <w:rsid w:val="00EE3327"/>
    <w:rsid w:val="00EE36D8"/>
    <w:rsid w:val="00EE5444"/>
    <w:rsid w:val="00EE5E1B"/>
    <w:rsid w:val="00EE645D"/>
    <w:rsid w:val="00EE7FF5"/>
    <w:rsid w:val="00EF0379"/>
    <w:rsid w:val="00EF1290"/>
    <w:rsid w:val="00EF14FE"/>
    <w:rsid w:val="00EF3A68"/>
    <w:rsid w:val="00EF753A"/>
    <w:rsid w:val="00EF7E96"/>
    <w:rsid w:val="00F001DD"/>
    <w:rsid w:val="00F02F20"/>
    <w:rsid w:val="00F03581"/>
    <w:rsid w:val="00F03EC8"/>
    <w:rsid w:val="00F052B9"/>
    <w:rsid w:val="00F05A4A"/>
    <w:rsid w:val="00F06257"/>
    <w:rsid w:val="00F1077F"/>
    <w:rsid w:val="00F108E1"/>
    <w:rsid w:val="00F11655"/>
    <w:rsid w:val="00F11ED9"/>
    <w:rsid w:val="00F13407"/>
    <w:rsid w:val="00F14202"/>
    <w:rsid w:val="00F15495"/>
    <w:rsid w:val="00F168F4"/>
    <w:rsid w:val="00F2027D"/>
    <w:rsid w:val="00F25C3D"/>
    <w:rsid w:val="00F328DB"/>
    <w:rsid w:val="00F32D6B"/>
    <w:rsid w:val="00F33D73"/>
    <w:rsid w:val="00F35275"/>
    <w:rsid w:val="00F354BB"/>
    <w:rsid w:val="00F405D4"/>
    <w:rsid w:val="00F43DD3"/>
    <w:rsid w:val="00F447E9"/>
    <w:rsid w:val="00F45328"/>
    <w:rsid w:val="00F5292B"/>
    <w:rsid w:val="00F53A46"/>
    <w:rsid w:val="00F56BC1"/>
    <w:rsid w:val="00F57003"/>
    <w:rsid w:val="00F62388"/>
    <w:rsid w:val="00F6388D"/>
    <w:rsid w:val="00F63C3E"/>
    <w:rsid w:val="00F65452"/>
    <w:rsid w:val="00F65B9F"/>
    <w:rsid w:val="00F65EF1"/>
    <w:rsid w:val="00F663D7"/>
    <w:rsid w:val="00F663F9"/>
    <w:rsid w:val="00F6673A"/>
    <w:rsid w:val="00F7191F"/>
    <w:rsid w:val="00F71D36"/>
    <w:rsid w:val="00F74495"/>
    <w:rsid w:val="00F746D2"/>
    <w:rsid w:val="00F74D02"/>
    <w:rsid w:val="00F772F6"/>
    <w:rsid w:val="00F81978"/>
    <w:rsid w:val="00F81AC5"/>
    <w:rsid w:val="00F81F23"/>
    <w:rsid w:val="00F822B8"/>
    <w:rsid w:val="00F827D6"/>
    <w:rsid w:val="00F82D95"/>
    <w:rsid w:val="00F852C7"/>
    <w:rsid w:val="00F86032"/>
    <w:rsid w:val="00F86AE4"/>
    <w:rsid w:val="00F871E5"/>
    <w:rsid w:val="00F87F4B"/>
    <w:rsid w:val="00F904BE"/>
    <w:rsid w:val="00F90A6E"/>
    <w:rsid w:val="00F917F6"/>
    <w:rsid w:val="00F9245F"/>
    <w:rsid w:val="00F92D63"/>
    <w:rsid w:val="00F92DD2"/>
    <w:rsid w:val="00F937A5"/>
    <w:rsid w:val="00F9391E"/>
    <w:rsid w:val="00F948FF"/>
    <w:rsid w:val="00F96CF2"/>
    <w:rsid w:val="00FA084A"/>
    <w:rsid w:val="00FA186B"/>
    <w:rsid w:val="00FA1AD4"/>
    <w:rsid w:val="00FA5F37"/>
    <w:rsid w:val="00FA7414"/>
    <w:rsid w:val="00FB0301"/>
    <w:rsid w:val="00FB257B"/>
    <w:rsid w:val="00FB3DAE"/>
    <w:rsid w:val="00FB56C2"/>
    <w:rsid w:val="00FC377B"/>
    <w:rsid w:val="00FC408E"/>
    <w:rsid w:val="00FC661C"/>
    <w:rsid w:val="00FD0F5A"/>
    <w:rsid w:val="00FD11E2"/>
    <w:rsid w:val="00FD1387"/>
    <w:rsid w:val="00FD1746"/>
    <w:rsid w:val="00FD31B6"/>
    <w:rsid w:val="00FD41E8"/>
    <w:rsid w:val="00FD5820"/>
    <w:rsid w:val="00FD6D7D"/>
    <w:rsid w:val="00FD7A23"/>
    <w:rsid w:val="00FE0E34"/>
    <w:rsid w:val="00FE2DC3"/>
    <w:rsid w:val="00FE3184"/>
    <w:rsid w:val="00FE4DD3"/>
    <w:rsid w:val="00FE5942"/>
    <w:rsid w:val="00FF25AE"/>
    <w:rsid w:val="00FF333E"/>
    <w:rsid w:val="00FF349C"/>
    <w:rsid w:val="00FF373A"/>
    <w:rsid w:val="00FF3997"/>
    <w:rsid w:val="00FF6B8B"/>
    <w:rsid w:val="00FF6D65"/>
    <w:rsid w:val="00FF6DAC"/>
    <w:rsid w:val="00FF70D4"/>
    <w:rsid w:val="00FF766A"/>
    <w:rsid w:val="00FF793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D9F6D4D"/>
  <w15:docId w15:val="{91326656-E0F3-4F6C-B8DB-9C14D7D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C0"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1B1DE7"/>
    <w:pPr>
      <w:keepNext/>
      <w:numPr>
        <w:numId w:val="24"/>
      </w:numPr>
      <w:spacing w:before="36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C2D88"/>
    <w:pPr>
      <w:keepNext/>
      <w:numPr>
        <w:ilvl w:val="1"/>
        <w:numId w:val="24"/>
      </w:numPr>
      <w:spacing w:before="36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9F5464"/>
    <w:pPr>
      <w:keepNext/>
      <w:numPr>
        <w:ilvl w:val="2"/>
        <w:numId w:val="24"/>
      </w:numPr>
      <w:spacing w:before="360" w:after="60"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rsid w:val="008D3DC0"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D3DC0"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D3DC0"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D3DC0"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D3DC0"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D3DC0"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3DC0"/>
  </w:style>
  <w:style w:type="paragraph" w:styleId="DocumentMap">
    <w:name w:val="Document Map"/>
    <w:basedOn w:val="Normal"/>
    <w:semiHidden/>
    <w:rsid w:val="008D3DC0"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sid w:val="008D3DC0"/>
    <w:rPr>
      <w:rFonts w:ascii="Courier New" w:hAnsi="Courier New"/>
      <w:snapToGrid w:val="0"/>
    </w:rPr>
  </w:style>
  <w:style w:type="paragraph" w:styleId="ListNumber">
    <w:name w:val="List Number"/>
    <w:basedOn w:val="Normal"/>
    <w:rsid w:val="008D3DC0"/>
    <w:pPr>
      <w:numPr>
        <w:numId w:val="1"/>
      </w:numPr>
    </w:pPr>
  </w:style>
  <w:style w:type="paragraph" w:styleId="ListNumber2">
    <w:name w:val="List Number 2"/>
    <w:basedOn w:val="Normal"/>
    <w:rsid w:val="008D3DC0"/>
    <w:pPr>
      <w:numPr>
        <w:numId w:val="2"/>
      </w:numPr>
    </w:pPr>
  </w:style>
  <w:style w:type="paragraph" w:styleId="ListBullet">
    <w:name w:val="List Bullet"/>
    <w:basedOn w:val="Normal"/>
    <w:autoRedefine/>
    <w:rsid w:val="004F2D51"/>
    <w:pPr>
      <w:numPr>
        <w:numId w:val="5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8D3DC0"/>
    <w:pPr>
      <w:spacing w:after="120"/>
    </w:pPr>
    <w:rPr>
      <w:b/>
    </w:rPr>
  </w:style>
  <w:style w:type="paragraph" w:styleId="Footer">
    <w:name w:val="footer"/>
    <w:basedOn w:val="Normal"/>
    <w:rsid w:val="008D3D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DC0"/>
  </w:style>
  <w:style w:type="paragraph" w:styleId="Header">
    <w:name w:val="header"/>
    <w:basedOn w:val="Normal"/>
    <w:rsid w:val="008D3DC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D3DC0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rsid w:val="008D3DC0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sid w:val="008D3DC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E59FE"/>
    <w:pPr>
      <w:jc w:val="left"/>
    </w:pPr>
    <w:rPr>
      <w:rFonts w:ascii="Arial" w:hAnsi="Arial"/>
      <w:b/>
      <w:bCs/>
      <w:i/>
      <w:iCs/>
      <w:sz w:val="26"/>
      <w:szCs w:val="28"/>
    </w:rPr>
  </w:style>
  <w:style w:type="paragraph" w:styleId="TOC2">
    <w:name w:val="toc 2"/>
    <w:basedOn w:val="Normal"/>
    <w:next w:val="Normal"/>
    <w:autoRedefine/>
    <w:uiPriority w:val="39"/>
    <w:rsid w:val="00F81AC5"/>
    <w:pPr>
      <w:ind w:left="240"/>
      <w:jc w:val="left"/>
    </w:pPr>
    <w:rPr>
      <w:rFonts w:ascii="Arial" w:hAnsi="Arial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rsid w:val="00F81AC5"/>
    <w:pPr>
      <w:spacing w:before="0"/>
      <w:ind w:left="480"/>
      <w:jc w:val="left"/>
    </w:pPr>
    <w:rPr>
      <w:rFonts w:ascii="Arial" w:hAnsi="Arial"/>
      <w:szCs w:val="24"/>
    </w:rPr>
  </w:style>
  <w:style w:type="paragraph" w:styleId="TOC4">
    <w:name w:val="toc 4"/>
    <w:basedOn w:val="Normal"/>
    <w:next w:val="Normal"/>
    <w:autoRedefine/>
    <w:semiHidden/>
    <w:rsid w:val="008D3DC0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8D3DC0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8D3DC0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8D3DC0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D3DC0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8D3DC0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sid w:val="008D3DC0"/>
    <w:rPr>
      <w:sz w:val="20"/>
    </w:rPr>
  </w:style>
  <w:style w:type="character" w:styleId="FootnoteReference">
    <w:name w:val="footnote reference"/>
    <w:basedOn w:val="DefaultParagraphFont"/>
    <w:semiHidden/>
    <w:rsid w:val="008D3D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5AE2"/>
    <w:pPr>
      <w:ind w:left="720"/>
      <w:contextualSpacing/>
    </w:pPr>
  </w:style>
  <w:style w:type="table" w:styleId="TableGrid">
    <w:name w:val="Table Grid"/>
    <w:basedOn w:val="TableNormal"/>
    <w:rsid w:val="000E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D41E8"/>
    <w:pPr>
      <w:spacing w:before="60" w:after="60"/>
    </w:pPr>
    <w:rPr>
      <w:rFonts w:ascii="Arial" w:hAnsi="Arial" w:cs="Arial"/>
      <w:sz w:val="20"/>
    </w:rPr>
  </w:style>
  <w:style w:type="paragraph" w:customStyle="1" w:styleId="TableCaption">
    <w:name w:val="Table Caption"/>
    <w:basedOn w:val="Caption"/>
    <w:next w:val="PlainText"/>
    <w:rsid w:val="00E427D9"/>
    <w:pPr>
      <w:spacing w:after="240"/>
    </w:pPr>
    <w:rPr>
      <w:rFonts w:ascii="Arial" w:hAnsi="Arial"/>
      <w:sz w:val="22"/>
    </w:rPr>
  </w:style>
  <w:style w:type="paragraph" w:customStyle="1" w:styleId="TableCode">
    <w:name w:val="Table Code"/>
    <w:basedOn w:val="TableText"/>
    <w:qFormat/>
    <w:rsid w:val="00E35CC7"/>
    <w:pPr>
      <w:tabs>
        <w:tab w:val="left" w:pos="734"/>
        <w:tab w:val="left" w:pos="1454"/>
        <w:tab w:val="left" w:pos="2161"/>
        <w:tab w:val="left" w:pos="2894"/>
        <w:tab w:val="left" w:pos="3614"/>
        <w:tab w:val="left" w:pos="4334"/>
      </w:tabs>
    </w:pPr>
    <w:rPr>
      <w:rFonts w:ascii="Courier New" w:hAnsi="Courier New" w:cs="Courier New"/>
      <w:noProof/>
    </w:rPr>
  </w:style>
  <w:style w:type="paragraph" w:customStyle="1" w:styleId="Style1">
    <w:name w:val="Style1"/>
    <w:basedOn w:val="TableCaption"/>
    <w:next w:val="BlockText"/>
    <w:qFormat/>
    <w:rsid w:val="00421EF0"/>
  </w:style>
  <w:style w:type="paragraph" w:styleId="BlockText">
    <w:name w:val="Block Text"/>
    <w:basedOn w:val="Normal"/>
    <w:rsid w:val="00421EF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BE59FE"/>
    <w:pPr>
      <w:keepLines/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kern w:val="0"/>
      <w:szCs w:val="32"/>
    </w:rPr>
  </w:style>
  <w:style w:type="character" w:styleId="Emphasis">
    <w:name w:val="Emphasis"/>
    <w:basedOn w:val="DefaultParagraphFont"/>
    <w:uiPriority w:val="20"/>
    <w:qFormat/>
    <w:rsid w:val="00B1058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7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chip.org/wiki/intel/xeon_gold/624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cc.ligo.org/LIGO-T2100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xtensa.tech/blog/avx-throttling-part1/" TargetMode="External"/><Relationship Id="rId2" Type="http://schemas.openxmlformats.org/officeDocument/2006/relationships/hyperlink" Target="https://en.wikichip.org/wiki/intel/xeon_gold/6244" TargetMode="External"/><Relationship Id="rId1" Type="http://schemas.openxmlformats.org/officeDocument/2006/relationships/hyperlink" Target="https://en.wikipedia.org/wiki/Advanced_Vector_Extensions" TargetMode="External"/><Relationship Id="rId4" Type="http://schemas.openxmlformats.org/officeDocument/2006/relationships/hyperlink" Target="https://lemire.me/blog/2018/09/07/avx-512-when-and-how-to-use-these-new-instruction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9A8A-430D-4828-98F4-562E6F3E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1033</Words>
  <Characters>5807</Characters>
  <Application>Microsoft Office Word</Application>
  <DocSecurity>0</DocSecurity>
  <Lines>232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Biquad Implementation using Advanced Vector Extensions</vt:lpstr>
    </vt:vector>
  </TitlesOfParts>
  <Company>Caltech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Biquad Implementation using Advanced Vector Extensions</dc:title>
  <dc:subject>advanced LIGO</dc:subject>
  <dc:creator>Daniel Sigg</dc:creator>
  <cp:lastModifiedBy>Daniel Sigg</cp:lastModifiedBy>
  <cp:revision>338</cp:revision>
  <cp:lastPrinted>2021-10-25T01:03:00Z</cp:lastPrinted>
  <dcterms:created xsi:type="dcterms:W3CDTF">2017-12-19T21:27:00Z</dcterms:created>
  <dcterms:modified xsi:type="dcterms:W3CDTF">2021-11-04T23:12:00Z</dcterms:modified>
</cp:coreProperties>
</file>